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9C" w:rsidRPr="002F4758" w:rsidRDefault="0050689C" w:rsidP="002F4758">
      <w:pPr>
        <w:spacing w:after="0"/>
        <w:jc w:val="center"/>
        <w:rPr>
          <w:b/>
          <w:lang w:val="sr-Latn-CS"/>
        </w:rPr>
      </w:pPr>
      <w:r w:rsidRPr="002F4758">
        <w:rPr>
          <w:b/>
          <w:bCs/>
          <w:lang w:val="sr-Latn-CS"/>
        </w:rPr>
        <w:t>Evropske integracije i advokatura</w:t>
      </w:r>
      <w:r>
        <w:rPr>
          <w:b/>
          <w:bCs/>
          <w:lang w:val="sr-Latn-CS"/>
        </w:rPr>
        <w:t xml:space="preserve">: </w:t>
      </w:r>
      <w:r w:rsidRPr="002F4758">
        <w:rPr>
          <w:b/>
          <w:bCs/>
          <w:lang w:val="sr-Latn-CS"/>
        </w:rPr>
        <w:t>ključna pitanja i izazovi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(1)</w:t>
      </w:r>
      <w:r w:rsidRPr="002F4758">
        <w:rPr>
          <w:b/>
          <w:bCs/>
          <w:lang w:val="sr-Latn-CS"/>
        </w:rPr>
        <w:tab/>
        <w:t>Advokati i pružanje usluga na unutrašnjem tržištu EU - kako pravn</w:t>
      </w:r>
      <w:r>
        <w:rPr>
          <w:b/>
          <w:bCs/>
          <w:lang w:val="sr-Latn-CS"/>
        </w:rPr>
        <w:t>e</w:t>
      </w:r>
      <w:r w:rsidRPr="002F4758">
        <w:rPr>
          <w:b/>
          <w:bCs/>
          <w:lang w:val="sr-Latn-CS"/>
        </w:rPr>
        <w:t xml:space="preserve"> tekovin</w:t>
      </w:r>
      <w:r>
        <w:rPr>
          <w:b/>
          <w:bCs/>
          <w:lang w:val="sr-Latn-CS"/>
        </w:rPr>
        <w:t>e</w:t>
      </w:r>
      <w:r w:rsidRPr="002F4758">
        <w:rPr>
          <w:b/>
          <w:bCs/>
          <w:lang w:val="sr-Latn-CS"/>
        </w:rPr>
        <w:t xml:space="preserve"> EU </w:t>
      </w:r>
      <w:r w:rsidRPr="002F4758">
        <w:rPr>
          <w:b/>
          <w:bCs/>
          <w:i/>
          <w:iCs/>
          <w:lang w:val="sr-Latn-CS"/>
        </w:rPr>
        <w:t xml:space="preserve">(aquis) </w:t>
      </w:r>
      <w:r w:rsidRPr="002F4758">
        <w:rPr>
          <w:b/>
          <w:bCs/>
          <w:lang w:val="sr-Latn-CS"/>
        </w:rPr>
        <w:t>kategorišu takve usluge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Prema pravu Evropske unije advokatska delatnost se tretira kao i svaki drugi vid pružanja usluga. Ov</w:t>
      </w:r>
      <w:r>
        <w:rPr>
          <w:lang w:val="sr-Latn-CS"/>
        </w:rPr>
        <w:t>akav</w:t>
      </w:r>
      <w:r w:rsidRPr="002F4758">
        <w:rPr>
          <w:lang w:val="sr-Latn-CS"/>
        </w:rPr>
        <w:t xml:space="preserve"> </w:t>
      </w:r>
      <w:r>
        <w:rPr>
          <w:lang w:val="sr-Latn-CS"/>
        </w:rPr>
        <w:t>pristup se već duže vreme zastupljen</w:t>
      </w:r>
      <w:r w:rsidRPr="002F4758">
        <w:rPr>
          <w:lang w:val="sr-Latn-CS"/>
        </w:rPr>
        <w:t xml:space="preserve"> u zakonodavstvu i sudskoj praksi: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U predmetu </w:t>
      </w:r>
      <w:r w:rsidRPr="002F4758">
        <w:rPr>
          <w:i/>
          <w:iCs/>
          <w:lang w:val="sr-Latn-CS"/>
        </w:rPr>
        <w:t>Reyners</w:t>
      </w:r>
      <w:r w:rsidRPr="002F4758">
        <w:rPr>
          <w:lang w:val="sr-Latn-CS"/>
        </w:rPr>
        <w:t xml:space="preserve"> (predmet br. 2/74), razmatranom pre više od 40 godina, utvrđeno je da se odredbe Ugovora</w:t>
      </w:r>
      <w:r>
        <w:rPr>
          <w:lang w:val="sr-Latn-CS"/>
        </w:rPr>
        <w:t xml:space="preserve"> </w:t>
      </w:r>
      <w:r w:rsidRPr="002F4758">
        <w:rPr>
          <w:lang w:val="sr-Latn-CS"/>
        </w:rPr>
        <w:t>o osnivanju Evropske ekonomske zajednice</w:t>
      </w:r>
      <w:r>
        <w:rPr>
          <w:lang w:val="sr-Latn-CS"/>
        </w:rPr>
        <w:t xml:space="preserve"> </w:t>
      </w:r>
      <w:r w:rsidRPr="002F4758">
        <w:rPr>
          <w:lang w:val="sr-Latn-CS"/>
        </w:rPr>
        <w:t xml:space="preserve">koje se odnose na slobodu kretanja ljudi i usluga primenjuju i na advokate. Predmet se ticao holandskog državljanina kome zbog državljanstva nije odobren pristup advokatskoj profesiji u Belgiji. Sud je odbio argumentaciju da </w:t>
      </w:r>
      <w:r>
        <w:rPr>
          <w:lang w:val="sr-Latn-CS"/>
        </w:rPr>
        <w:t xml:space="preserve">bi </w:t>
      </w:r>
      <w:r w:rsidRPr="002F4758">
        <w:rPr>
          <w:lang w:val="sr-Latn-CS"/>
        </w:rPr>
        <w:t>advokati treba</w:t>
      </w:r>
      <w:r>
        <w:rPr>
          <w:lang w:val="sr-Latn-CS"/>
        </w:rPr>
        <w:t>lo</w:t>
      </w:r>
      <w:r w:rsidRPr="002F4758">
        <w:rPr>
          <w:lang w:val="sr-Latn-CS"/>
        </w:rPr>
        <w:t xml:space="preserve"> da budu izuzeti od primene odredaba o slobodi kretanja zato što su povezani sa vršenjem javnih ovlašćenja (načelno dopušten izuzetak), budući da je Sud smatrao da najveći deo advokatskih poslova ne potpada pod javna ovlašćenja, a da je onaj mali deo poslova koji se može smatrati komponentom javnih ovlašćenja moguće izdvojiti kao posebnu aktivnost.</w:t>
      </w:r>
      <w:r>
        <w:rPr>
          <w:lang w:val="sr-Latn-CS"/>
        </w:rPr>
        <w:t xml:space="preserve">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Direktivom o uslugama iz 2006. godine (2006/123/EZ) potvrđeno je da pravne usluge predstavljaju usluge koje se mogu regulisati propisima EU, između ostalog i odredbama </w:t>
      </w:r>
      <w:r>
        <w:rPr>
          <w:lang w:val="sr-Latn-CS"/>
        </w:rPr>
        <w:t>ove</w:t>
      </w:r>
      <w:r w:rsidRPr="002F4758">
        <w:rPr>
          <w:lang w:val="sr-Latn-CS"/>
        </w:rPr>
        <w:t xml:space="preserve"> direktive. To nije izričito navedeno u samoj direktivi ali se to njome jasno implicira budući da ona iz svog domašaja isključuje pitanja koja su već obuhvaćena tzv. direktivama o advokatima - videti npr. čl. 5, stav 4, i čl. 16 (4). Ovakvo tumačenje (da su Direktivom o uslugama obuhvaćeni aspekti advokatskih usluga koji nisu </w:t>
      </w:r>
      <w:r>
        <w:rPr>
          <w:lang w:val="sr-Latn-CS"/>
        </w:rPr>
        <w:t>sadržani</w:t>
      </w:r>
      <w:r w:rsidRPr="002F4758">
        <w:rPr>
          <w:lang w:val="sr-Latn-CS"/>
        </w:rPr>
        <w:t xml:space="preserve"> u postojećim direktivama o advokatima) prihvatile su sve advokatske komore Evropske unije.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U predmetu </w:t>
      </w:r>
      <w:r w:rsidRPr="002F4758">
        <w:rPr>
          <w:i/>
          <w:iCs/>
          <w:lang w:val="sr-Latn-CS"/>
        </w:rPr>
        <w:t>Wouters</w:t>
      </w:r>
      <w:r w:rsidRPr="002F4758">
        <w:rPr>
          <w:lang w:val="sr-Latn-CS"/>
        </w:rPr>
        <w:t xml:space="preserve"> (predmet br. C-309/99) zauzet je stav da se za potrebe prava konkurencije advokatska komora smatra „udruženjem privrednih subjekata/preduzetnika“ i stoga odluke advokatskih komora moraju biti u skladu sa propisima o zaštiti konkurencije. Ovaj predmet se odnosio na holandskog advokata koji je stupio u partnerski poslovni odnos sa računovodstvenom firmom, što je u suprotnosti sa pravilima Advokatske komore Holandije koja ne dopuštaju multidisciplinarna partnerstva. Trebalo je doneti odluku o pitanju da li je takvo pravilo u suprotnosti sa pravom konkurencije EU, budući da se njime ograničavaju vrste subjekata koje se mogu </w:t>
      </w:r>
      <w:r>
        <w:rPr>
          <w:lang w:val="sr-Latn-CS"/>
        </w:rPr>
        <w:t xml:space="preserve">nadmetati </w:t>
      </w:r>
      <w:r w:rsidRPr="002F4758">
        <w:rPr>
          <w:lang w:val="sr-Latn-CS"/>
        </w:rPr>
        <w:t xml:space="preserve">na tržištu pravnih usluga. Sud je ustanovio da advokatske komore načelno podležu propisima o zaštiti konkurencije, te da i advokatske usluge predstavljaju privrednu delatnost koja podleže takvim propisima - ali da </w:t>
      </w:r>
      <w:r>
        <w:rPr>
          <w:lang w:val="sr-Latn-CS"/>
        </w:rPr>
        <w:t xml:space="preserve">sa druge strane </w:t>
      </w:r>
      <w:r w:rsidRPr="002F4758">
        <w:rPr>
          <w:lang w:val="sr-Latn-CS"/>
        </w:rPr>
        <w:t>advokatska komora u svojoj regulativi može odstupiti od uobičajenih načela konkurencije „radi pravilnog obavljanja advokatske profesije“.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1856F5" w:rsidRDefault="0050689C" w:rsidP="002F4758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Latn-CS"/>
        </w:rPr>
      </w:pPr>
      <w:r w:rsidRPr="001856F5">
        <w:rPr>
          <w:lang w:val="sr-Latn-CS"/>
        </w:rPr>
        <w:t xml:space="preserve">U predmetu </w:t>
      </w:r>
      <w:r w:rsidRPr="001856F5">
        <w:rPr>
          <w:i/>
          <w:iCs/>
          <w:lang w:val="sr-Latn-CS"/>
        </w:rPr>
        <w:t>Šiba</w:t>
      </w:r>
      <w:r w:rsidRPr="001856F5">
        <w:rPr>
          <w:lang w:val="sr-Latn-CS"/>
        </w:rPr>
        <w:t xml:space="preserve"> (predmet br. C</w:t>
      </w:r>
      <w:r w:rsidRPr="001856F5">
        <w:rPr>
          <w:rFonts w:ascii="Cambria Math" w:hAnsi="Cambria Math" w:cs="Cambria Math"/>
          <w:lang w:val="sr-Latn-CS"/>
        </w:rPr>
        <w:noBreakHyphen/>
      </w:r>
      <w:r w:rsidRPr="001856F5">
        <w:rPr>
          <w:lang w:val="sr-Latn-CS"/>
        </w:rPr>
        <w:t>537/13) utvrđeno je da bi za potrebe Direktive 93/13/EEZ o nepoštenim odredbama u potrošačkim ugovorima ugovor o pružanju pravnih usluga zaključen između advokata i stranke trebalo tretirati kao i svaki drugi ugovor o pružanju usluga. Predmet se ticao neisplaćivanja nagrade za rad advokata angažovanom na postupku za razvod braka klijentkinje. Klijentkinja je tvrdila da joj nije pružena zaštita predviđena Direktivom 93/13/EEZ. Sud je ustanovio da ugovor o pružanju pravnih usluga između advokata i stranke predstavlja ugovor kao i svaki drugi potrošački ugovor i da stoga podleže predmetnoj direktivi.</w:t>
      </w:r>
      <w:r>
        <w:rPr>
          <w:lang w:val="sr-Latn-CS"/>
        </w:rPr>
        <w:t xml:space="preserve"> </w:t>
      </w:r>
      <w:r w:rsidRPr="001856F5"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(2)</w:t>
      </w:r>
      <w:r w:rsidRPr="002F4758">
        <w:rPr>
          <w:b/>
          <w:bCs/>
          <w:lang w:val="sr-Latn-CS"/>
        </w:rPr>
        <w:tab/>
        <w:t xml:space="preserve">Sloboda kretanja advokata - uslovi za bavljenje advokaturom u Republici Srbiji i drugim državama članicama EU (pravo poslovnog nastanjivanja </w:t>
      </w:r>
      <w:r>
        <w:rPr>
          <w:b/>
          <w:bCs/>
          <w:lang w:val="sr-Latn-CS"/>
        </w:rPr>
        <w:t>u odnosu na</w:t>
      </w:r>
      <w:r w:rsidRPr="002F4758">
        <w:rPr>
          <w:b/>
          <w:bCs/>
          <w:lang w:val="sr-Latn-CS"/>
        </w:rPr>
        <w:t xml:space="preserve"> privremeno </w:t>
      </w:r>
      <w:r>
        <w:rPr>
          <w:b/>
          <w:bCs/>
          <w:lang w:val="sr-Latn-CS"/>
        </w:rPr>
        <w:t>pružanje</w:t>
      </w:r>
      <w:r w:rsidRPr="002F4758">
        <w:rPr>
          <w:b/>
          <w:bCs/>
          <w:lang w:val="sr-Latn-CS"/>
        </w:rPr>
        <w:t xml:space="preserve"> advokatskih usluga; test osposobljenosti/period prilagođavanja)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2"/>
        </w:num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Pravo advokata da se u drugoj državi privremeno ili trajno bavi advokaturom pod stručnim nazivom iz matične države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Pravo privremenog pružanja usluga u drugoj državi članici EU predviđeno je Direktivom o advokatskim uslugama (77/249/EEZ</w:t>
      </w:r>
      <w:r>
        <w:rPr>
          <w:lang w:val="sr-Latn-CS"/>
        </w:rPr>
        <w:t>),</w:t>
      </w:r>
      <w:r w:rsidRPr="002F4758">
        <w:rPr>
          <w:lang w:val="sr-Latn-CS"/>
        </w:rPr>
        <w:t xml:space="preserve"> kojom se advokatu dopušta da privremeno pruža usluge u drugoj državi članici bez obaveštavanja lokalne komore. U dopuštene aktivnosti spada i zastupanje pred sudom (mada država prijema može u tom slučaju zahtevati da advokat bude predstavljen sudu i da radi zajedno sa lokalnim advokatom).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Pravo trajnog poslovnog nastanjivanja u drugoj državi članici EU i bavljenja advokaturom pod stručnim nazivom iz matične države utvrđeno je Direktivom o poslovnom nastanjivanju advokata (98/8/EZ). Ovom direktivom se advokatima dopušta da otvore kancelariju u drugoj državi članici, pod uslovom da se registruju kod lokalne komore. </w:t>
      </w:r>
      <w:r>
        <w:rPr>
          <w:lang w:val="sr-Latn-CS"/>
        </w:rPr>
        <w:t>O</w:t>
      </w:r>
      <w:r w:rsidRPr="002F4758">
        <w:rPr>
          <w:lang w:val="sr-Latn-CS"/>
        </w:rPr>
        <w:t xml:space="preserve">blast rada </w:t>
      </w:r>
      <w:r>
        <w:rPr>
          <w:lang w:val="sr-Latn-CS"/>
        </w:rPr>
        <w:t xml:space="preserve">obuhvata </w:t>
      </w:r>
      <w:r w:rsidRPr="002F4758">
        <w:rPr>
          <w:lang w:val="sr-Latn-CS"/>
        </w:rPr>
        <w:t>bavljenje pravom matične države i države prijema, uključujući i zastupanje pred sudom.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2"/>
        </w:num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Pravo advokata na sticanje stručnog naziva koji se koristi u drugoj državi članici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Advokati iz EU imaju mogućnost upisa </w:t>
      </w:r>
      <w:r>
        <w:rPr>
          <w:lang w:val="sr-Latn-CS"/>
        </w:rPr>
        <w:t xml:space="preserve">u </w:t>
      </w:r>
      <w:r w:rsidRPr="002F4758">
        <w:rPr>
          <w:lang w:val="sr-Latn-CS"/>
        </w:rPr>
        <w:t>imenik domaćih advokata na sledeća dva načina: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(1) </w:t>
      </w:r>
      <w:r w:rsidRPr="002F4758">
        <w:rPr>
          <w:u w:val="single"/>
          <w:lang w:val="sr-Latn-CS"/>
        </w:rPr>
        <w:t>Na osnovu Direktive o stručnim kvalifikacijama (2005/36/EZ)</w:t>
      </w:r>
      <w:r w:rsidRPr="002F4758">
        <w:rPr>
          <w:lang w:val="sr-Latn-CS"/>
        </w:rPr>
        <w:t xml:space="preserve"> – ovaj propis se tipično primenjuje na advokata iz EU koji ne živi u državi prijema već u drugoj državi članici, a zainteresovan je da postane „domaći advokat“ u državi prijema bez preseljenja u tu državu. Princip u osnovi direktive iz 2005. godine </w:t>
      </w:r>
      <w:r>
        <w:rPr>
          <w:lang w:val="sr-Latn-CS"/>
        </w:rPr>
        <w:t>jeste</w:t>
      </w:r>
      <w:r w:rsidRPr="002F4758">
        <w:rPr>
          <w:lang w:val="sr-Latn-CS"/>
        </w:rPr>
        <w:t xml:space="preserve"> priznavanj</w:t>
      </w:r>
      <w:r>
        <w:rPr>
          <w:lang w:val="sr-Latn-CS"/>
        </w:rPr>
        <w:t>e</w:t>
      </w:r>
      <w:r w:rsidRPr="002F4758">
        <w:rPr>
          <w:lang w:val="sr-Latn-CS"/>
        </w:rPr>
        <w:t xml:space="preserve"> stečenih kvalifikacija advokata koji podnosi zahtev za bavljenje advokaturom pod stručnim nazivom koji se koristi u državi prijema. Dakle, nije potrebno da takav advokat ponovo studira pravo već treba da premosti praznine, odnosno razlike u pravničkom znanju koje je stekao pod stručnim nazivom matične zemlje i znanju koje je potrebno za sticanje stručnog naziva u državi prijema. Ovo popunjavanje praznina može se izvršiti na dva načina priznata direktivom: polaganjem testa osposobljenosti ili prolaskom kroz period prilagođavanja. Ovde su prikazane razlike između ova dva načina: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b/>
          <w:bCs/>
          <w:lang w:val="sr-Latn-CS"/>
        </w:rPr>
        <w:t>Test osposobljenosti: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Osnovni kriterijumi ovog testa su: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•</w:t>
      </w:r>
      <w:r w:rsidRPr="002F4758">
        <w:rPr>
          <w:lang w:val="sr-Latn-CS"/>
        </w:rPr>
        <w:tab/>
        <w:t>mora obuhvatiti samo materiju koja nije obuhvaćena postojećom kvalifikacijom advokata koji podnosi zahtev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•</w:t>
      </w:r>
      <w:r w:rsidRPr="002F4758">
        <w:rPr>
          <w:lang w:val="sr-Latn-CS"/>
        </w:rPr>
        <w:tab/>
        <w:t>mora obuhvatati samo materiju čije je poznavanje preko potrebno za bavljenje advokaturom u Srbiji.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lastRenderedPageBreak/>
        <w:t>Drugim rečima, ovim testom treba da se proveri ono što se u pravu države prijema razlikuje od prava druge države članice i stoga ovaj test ne bi trebalo da bude isto što i pravosudni ispit.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Primeri testa osposobljenosti u drugim državama članicama: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u w:val="single"/>
          <w:lang w:val="sr-Latn-CS"/>
        </w:rPr>
        <w:t>Nemačka:</w:t>
      </w:r>
      <w:r w:rsidRPr="002F4758">
        <w:rPr>
          <w:lang w:val="sr-Latn-CS"/>
        </w:rPr>
        <w:t xml:space="preserve"> polaže se ispit iz jednog obaveznog predmeta - građanskog prava, dva opciona predmeta i propisa o profesionalnoj etici advokata. Podnosilac zahteva bira po jedan opcionipredmet iz sledeće dve grupe predmeta:</w:t>
      </w:r>
    </w:p>
    <w:p w:rsidR="0050689C" w:rsidRPr="005410C4" w:rsidRDefault="0050689C" w:rsidP="005410C4">
      <w:pPr>
        <w:pStyle w:val="ListParagraph"/>
        <w:numPr>
          <w:ilvl w:val="0"/>
          <w:numId w:val="4"/>
        </w:numPr>
        <w:spacing w:after="0"/>
        <w:ind w:left="360"/>
        <w:jc w:val="both"/>
        <w:rPr>
          <w:lang w:val="sr-Latn-CS"/>
        </w:rPr>
      </w:pPr>
      <w:r w:rsidRPr="005410C4">
        <w:rPr>
          <w:lang w:val="sr-Latn-CS"/>
        </w:rPr>
        <w:t>javno pravo ili krivično pravo,</w:t>
      </w:r>
    </w:p>
    <w:p w:rsidR="0050689C" w:rsidRPr="005410C4" w:rsidRDefault="0050689C" w:rsidP="002F4758">
      <w:pPr>
        <w:pStyle w:val="ListParagraph"/>
        <w:numPr>
          <w:ilvl w:val="0"/>
          <w:numId w:val="4"/>
        </w:numPr>
        <w:spacing w:after="0"/>
        <w:ind w:left="360"/>
        <w:jc w:val="both"/>
        <w:rPr>
          <w:lang w:val="sr-Latn-CS"/>
        </w:rPr>
      </w:pPr>
      <w:r w:rsidRPr="005410C4">
        <w:rPr>
          <w:lang w:val="sr-Latn-CS"/>
        </w:rPr>
        <w:t>trgovinsko pravo, radno pravo, oblasti građanskog prava koje nisu obuhvaćene obaveznim predmetom,</w:t>
      </w:r>
      <w:r>
        <w:rPr>
          <w:lang w:val="sr-Latn-CS"/>
        </w:rPr>
        <w:t xml:space="preserve"> </w:t>
      </w:r>
      <w:r w:rsidRPr="005410C4">
        <w:rPr>
          <w:lang w:val="sr-Latn-CS"/>
        </w:rPr>
        <w:t>javno pravo ili krivično pravo.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Podnosilac zahteva ne može izabrati isti opcioni predmet </w:t>
      </w:r>
      <w:r>
        <w:rPr>
          <w:lang w:val="sr-Latn-CS"/>
        </w:rPr>
        <w:t>u</w:t>
      </w:r>
      <w:r w:rsidRPr="002F4758">
        <w:rPr>
          <w:lang w:val="sr-Latn-CS"/>
        </w:rPr>
        <w:t xml:space="preserve"> obe grupe.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Default="0050689C" w:rsidP="002F4758">
      <w:pPr>
        <w:spacing w:after="0"/>
        <w:jc w:val="both"/>
        <w:rPr>
          <w:lang w:val="sr-Latn-CS"/>
        </w:rPr>
      </w:pPr>
      <w:r w:rsidRPr="002F4758">
        <w:rPr>
          <w:u w:val="single"/>
          <w:lang w:val="sr-Latn-CS"/>
        </w:rPr>
        <w:t>Velika Britanija:</w:t>
      </w:r>
      <w:r w:rsidRPr="002F4758">
        <w:rPr>
          <w:lang w:val="sr-Latn-CS"/>
        </w:rPr>
        <w:t xml:space="preserve"> najpre se polaže test sa ponuđenim odgovorima koji se odnosi na osnovna načela domaćeg prava, a nakon uspešno položenog ovog testa prelazi se na </w:t>
      </w:r>
      <w:r>
        <w:rPr>
          <w:lang w:val="sr-Latn-CS"/>
        </w:rPr>
        <w:t xml:space="preserve">praktičniji </w:t>
      </w:r>
      <w:r w:rsidRPr="002F4758">
        <w:rPr>
          <w:lang w:val="sr-Latn-CS"/>
        </w:rPr>
        <w:t>ispit iz 3 pravne oblasti: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• poslovno pravo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• imovinsko i nasledno pravo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• građansko procesno i krivično procesno pravo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u w:val="single"/>
          <w:lang w:val="sr-Latn-CS"/>
        </w:rPr>
        <w:t>Francuska:</w:t>
      </w:r>
      <w:r w:rsidRPr="002F4758">
        <w:rPr>
          <w:lang w:val="sr-Latn-CS"/>
        </w:rPr>
        <w:t xml:space="preserve"> materija za test osposobljenosti saopštava se kandidatu nakon upoznavanja nacionalne komore sa njegovim stečenim obrazovanjem i sastoji se od predmeta koji nisu uopšte ili u dovoljnoj meri obuhvaćeni prethodnim obrazovanjem. Kandidatu se može odrediti da polaže ispit iz najviše četiri predmeta. Provera znanja vrši se usmeno u trajanju od oko 20 minuta, nakon polučasovne pripreme. Ukoliko kandidat polaže ispit iz četiri predmeta, onda se provera znanja iz jednog od tih predmeta vrši u pisanom obliku u trajanju od četiri sata.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Period prilagođavanja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Ovaj način se u Direktivi iz 2005. godine definiše kao „</w:t>
      </w:r>
      <w:r w:rsidRPr="002F4758">
        <w:rPr>
          <w:i/>
          <w:iCs/>
          <w:lang w:val="sr-Latn-CS"/>
        </w:rPr>
        <w:t>obavljanje regulisane profesije u državi prijema pod odgovornošću kvalifikovanog stručnjaka</w:t>
      </w:r>
      <w:r>
        <w:rPr>
          <w:i/>
          <w:iCs/>
          <w:lang w:val="sr-Latn-CS"/>
        </w:rPr>
        <w:t xml:space="preserve"> iz advokatske profesije</w:t>
      </w:r>
      <w:r w:rsidRPr="002F4758">
        <w:rPr>
          <w:i/>
          <w:iCs/>
          <w:lang w:val="sr-Latn-CS"/>
        </w:rPr>
        <w:t>; taj period stručne prakse pod nadzorom može biti propraćen dodatnim osposobljavanjem.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>Period stručne prakse pod nadzorom se ocenjuje.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 xml:space="preserve">Detaljna pravila u pogledu perioda prilagođavanja i njegovog ocenjivanja, kao i statusa </w:t>
      </w:r>
      <w:r>
        <w:rPr>
          <w:i/>
          <w:iCs/>
          <w:lang w:val="sr-Latn-CS"/>
        </w:rPr>
        <w:t>advokata koji želi da stekne stručni naziv</w:t>
      </w:r>
      <w:r w:rsidRPr="002F4758">
        <w:rPr>
          <w:i/>
          <w:iCs/>
          <w:lang w:val="sr-Latn-CS"/>
        </w:rPr>
        <w:t xml:space="preserve"> za vreme stručne prakse pod nadzorom utvrđuje nadležni subjekt države prijema.</w:t>
      </w:r>
      <w:r w:rsidRPr="002F4758">
        <w:rPr>
          <w:lang w:val="sr-Latn-CS"/>
        </w:rPr>
        <w:t>“ Period prilagođavanja utvrđuje država članica</w:t>
      </w:r>
      <w:r>
        <w:rPr>
          <w:lang w:val="sr-Latn-CS"/>
        </w:rPr>
        <w:t xml:space="preserve"> prijema</w:t>
      </w:r>
      <w:r w:rsidRPr="002F4758">
        <w:rPr>
          <w:lang w:val="sr-Latn-CS"/>
        </w:rPr>
        <w:t>, a isti može trajati do tri godine.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Sve države članice opredelile su se za test osposobljenosti, </w:t>
      </w:r>
      <w:r>
        <w:rPr>
          <w:lang w:val="sr-Latn-CS"/>
        </w:rPr>
        <w:t xml:space="preserve">sa izuzetkom Danske koja </w:t>
      </w:r>
      <w:r w:rsidRPr="002F4758">
        <w:rPr>
          <w:lang w:val="sr-Latn-CS"/>
        </w:rPr>
        <w:t>primenjuje period prilagođavanja.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(2) </w:t>
      </w:r>
      <w:r w:rsidRPr="002F4758">
        <w:rPr>
          <w:u w:val="single"/>
          <w:lang w:val="sr-Latn-CS"/>
        </w:rPr>
        <w:t>Na osnovu čl. 10. Direktive o poslovnom nastanjivanju (98/5/EZ)</w:t>
      </w:r>
      <w:r w:rsidRPr="002F4758">
        <w:rPr>
          <w:lang w:val="sr-Latn-CS"/>
        </w:rPr>
        <w:t xml:space="preserve"> – ovom direktivom omogućava se advokatima registrovanim u jednoj državi članici (tj. advokatima iz EU koji su već nastanjeni u državi prijema) da nakon tri godine i pod određenim uslovima steknu stručni naziv koji se koristi u državi prijema bez polaganja ispita ili ispunjavanja drugih domaćih kriterijuma. Direktiva prepoznaje dve vrste podnosilaca zahteva: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ind w:firstLine="720"/>
        <w:jc w:val="both"/>
        <w:rPr>
          <w:lang w:val="sr-Latn-CS"/>
        </w:rPr>
      </w:pPr>
      <w:r w:rsidRPr="002F4758">
        <w:rPr>
          <w:lang w:val="sr-Latn-CS"/>
        </w:rPr>
        <w:lastRenderedPageBreak/>
        <w:t>(i)</w:t>
      </w:r>
      <w:r w:rsidRPr="002F4758">
        <w:rPr>
          <w:lang w:val="sr-Latn-CS"/>
        </w:rPr>
        <w:tab/>
        <w:t xml:space="preserve">lice koje efektivno i redovno obavlja delatnost najmanje tri godine u državi prijema po pravu te države, uključujući i pravo </w:t>
      </w:r>
      <w:r>
        <w:rPr>
          <w:lang w:val="sr-Latn-CS"/>
        </w:rPr>
        <w:t>EU</w:t>
      </w:r>
      <w:r w:rsidRPr="002F4758">
        <w:rPr>
          <w:lang w:val="sr-Latn-CS"/>
        </w:rPr>
        <w:t>; i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ind w:firstLine="720"/>
        <w:jc w:val="both"/>
        <w:rPr>
          <w:lang w:val="sr-Latn-CS"/>
        </w:rPr>
      </w:pPr>
      <w:r w:rsidRPr="002F4758">
        <w:rPr>
          <w:lang w:val="sr-Latn-CS"/>
        </w:rPr>
        <w:t>(i)</w:t>
      </w:r>
      <w:r w:rsidRPr="002F4758">
        <w:rPr>
          <w:lang w:val="sr-Latn-CS"/>
        </w:rPr>
        <w:tab/>
        <w:t>lice koje efektivno i redovno obavlja delatnost u državi prijema najmanje tri godine, ali kraće vreme po pravu te države članice.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U oba slučaja poslovno nastanjeni advokat može bez ispita steći stručni naziv koji se koristi u državi prijema. U slučaju pod stavkom (i) država prijema mora podnosiocu odobriti pristup ukoliko su ispunjeni navedeni kriterijumi, a u slučaju pod stavkom (ii) država prijema ima diskreciono pravo da odluči o </w:t>
      </w:r>
      <w:r>
        <w:rPr>
          <w:lang w:val="sr-Latn-CS"/>
        </w:rPr>
        <w:t>pristupu</w:t>
      </w:r>
      <w:r w:rsidRPr="002F4758">
        <w:rPr>
          <w:lang w:val="sr-Latn-CS"/>
        </w:rPr>
        <w:t>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U slučaju pod stavkom (i) advokat mora nadležnom subjektu u državi prijema dostaviti dokaze o efektivnom i redovnom bavljenju advokaturom. Direktiva predviđa da ti dokazi sadrže relevantne informacije i dokumentaciju, a naročito podatke o broju predmeta i njihovoj prirodi. Nadležni subjekt može verifikovati da je u pitanju efektivno i redovno bavljenje datom delatnošću, a po potrebi može od advokata zahtevati da usmeno ili u pisanoj formi pruži pojašnjenja ili dodatne detalje u pogledu dostavljenih informacija i dokumentacije. U slučaju odbijanja zahteva usled nedostatka dokaza (što je, kako se čini, jedini osnov za odbijanje zahteva) nadležni subjekt mora doneti obrazloženu odluku; u državi prijema mora biti obezbeđena mogućnost izjavljivanja žalbe na takvu odluku.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U slučaju pod (ii) nadležni subjekt mora uzeti u obzir efektivno i redovno bavljenje advokaturom tokom perioda od tri godine, te znanja i profesionalno iskustvo u bavljenju pravom države prijema, kao i pohađanje predavanja ili seminara o pravu države prijema, uključujući i propise koji regulišu bavljenje advokaturom i profesionalnu etiku. I ovde se od advokata traži da nadležnom subjektu dostavi sve relevantne informacije i dokumentaciju, a naročito o predmetima na kojima je radio. Ocenu efektivnosti i redovnosti bavljenja advokaturom u državi prijema, kao i ocenu njegove sposobnosti da nastavi da se njome bavi u toj državi donosi nadležni subjekt tako što obavlja razgovor sa advokatom radi verifikacije redovnosti i efektivnosti bavljenja advokaturom. Odluka nadležnog subjekta o odbijanju zahteva zbog nedostatka dokaza o ispunjenosti uslova ta</w:t>
      </w:r>
      <w:r>
        <w:rPr>
          <w:lang w:val="sr-Latn-CS"/>
        </w:rPr>
        <w:t>kođe mora biti obrazložena, a u nacionalnom zakonodavstvu</w:t>
      </w:r>
      <w:r w:rsidRPr="002F4758">
        <w:rPr>
          <w:lang w:val="sr-Latn-CS"/>
        </w:rPr>
        <w:t xml:space="preserve"> mora biti </w:t>
      </w:r>
      <w:r>
        <w:rPr>
          <w:lang w:val="sr-Latn-CS"/>
        </w:rPr>
        <w:t xml:space="preserve">predviđena </w:t>
      </w:r>
      <w:r w:rsidRPr="002F4758">
        <w:rPr>
          <w:lang w:val="sr-Latn-CS"/>
        </w:rPr>
        <w:t>mogućnost izjavljivanja žalbe na takvu odluku.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(3)</w:t>
      </w:r>
      <w:r w:rsidRPr="002F4758">
        <w:rPr>
          <w:b/>
          <w:bCs/>
          <w:lang w:val="sr-Latn-CS"/>
        </w:rPr>
        <w:tab/>
        <w:t>Uslovi u pogledu pravne forme (npr. samostalno bavljenje advokaturom, zajednička advokatska kancelarija, advokatsko ortačko društvo, društvo sa ograničenom odgovornošću, itd.)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Zajednička advokatska praksa mora biti dostupna i advokatima iz EU (videti čl. 11. Direktive 98/5/EZ):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lang w:val="sr-Latn-CS"/>
        </w:rPr>
        <w:t>„</w:t>
      </w:r>
      <w:r w:rsidRPr="002F4758">
        <w:rPr>
          <w:i/>
          <w:iCs/>
          <w:lang w:val="sr-Latn-CS"/>
        </w:rPr>
        <w:t>Ako je odobreno zajedničko bavljenje advokaturom advokatima koji svoju delatnost obavljaju pod odgovarajućim stručnim nazivom u državi prijema, primenjuju se sledeće odredbe za advokate koji žele da obavljaju delatnost pod tim stručnim nazivom, odnosno koji su upisani kod nadležnog subjekta: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>(1) Jedan ili više advokata iz istog udruže</w:t>
      </w:r>
      <w:r>
        <w:rPr>
          <w:i/>
          <w:iCs/>
          <w:lang w:val="sr-Latn-CS"/>
        </w:rPr>
        <w:t xml:space="preserve">nja u matičnoj državi članici </w:t>
      </w:r>
      <w:r w:rsidRPr="002F4758">
        <w:rPr>
          <w:i/>
          <w:iCs/>
          <w:lang w:val="sr-Latn-CS"/>
        </w:rPr>
        <w:t>koji se advokaturom bave u državi prijema pod stručnim nazivom matične države mogu svoju stručnu delatnost obavljati u podružnici ili predstavništvu svog udruženja u državi prijema.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 xml:space="preserve">Međutim, ako osnovna pravila kojima se uređuje takvo udruživanje u matičnoj državi nisu u skladu s osnovnim pravilima utvrđenim zakonima, podzakonskim propisima ili u upravnom postupku države prijema, potonja pravila su merodavna u onoj meri u kojoj je pridržavanje tih pravila opravdano javnim interesom </w:t>
      </w:r>
      <w:r>
        <w:rPr>
          <w:i/>
          <w:iCs/>
          <w:lang w:val="sr-Latn-CS"/>
        </w:rPr>
        <w:t>pri</w:t>
      </w:r>
      <w:r w:rsidRPr="002F4758">
        <w:rPr>
          <w:i/>
          <w:iCs/>
          <w:lang w:val="sr-Latn-CS"/>
        </w:rPr>
        <w:t xml:space="preserve"> zaštiti stranaka i trećih lica.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 xml:space="preserve">(2) Svaka država članica dopustiće da dvoje ili više advokata iz istog </w:t>
      </w:r>
      <w:r>
        <w:rPr>
          <w:i/>
          <w:iCs/>
          <w:lang w:val="sr-Latn-CS"/>
        </w:rPr>
        <w:t xml:space="preserve">oblika </w:t>
      </w:r>
      <w:r w:rsidRPr="002F4758">
        <w:rPr>
          <w:i/>
          <w:iCs/>
          <w:lang w:val="sr-Latn-CS"/>
        </w:rPr>
        <w:t>udruž</w:t>
      </w:r>
      <w:r>
        <w:rPr>
          <w:i/>
          <w:iCs/>
          <w:lang w:val="sr-Latn-CS"/>
        </w:rPr>
        <w:t>iva</w:t>
      </w:r>
      <w:r w:rsidRPr="002F4758">
        <w:rPr>
          <w:i/>
          <w:iCs/>
          <w:lang w:val="sr-Latn-CS"/>
        </w:rPr>
        <w:t>nja ili iste matične države članice koji na njenoj teritoriji obavljaju delatnost pod stručnim nazivom iz matične zemlje imaju pristup određenom obliku zajedničkog obavljanja delatnosti.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>Ako država prijema dopušta svojim advokatima izbor između više oblika zajedničkog obavljanja delatnosti, te iste oblike staviće na raspolaganje i gorenavedenim advokatima.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>Način na koji ti advokati zajednički obavljaju delatnost u državi prijema uređuje se zakonima i drugim propisima te države.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>(3) Država prijema preduzeće mere potrebne za dopuštanje zajedničkog obavljanja delatnosti između:</w:t>
      </w:r>
    </w:p>
    <w:p w:rsidR="0050689C" w:rsidRDefault="0050689C" w:rsidP="002F4758">
      <w:pPr>
        <w:spacing w:after="0"/>
        <w:jc w:val="both"/>
        <w:rPr>
          <w:i/>
          <w:iCs/>
          <w:lang w:val="sr-Latn-CS"/>
        </w:rPr>
      </w:pPr>
    </w:p>
    <w:p w:rsidR="0050689C" w:rsidRPr="002F4758" w:rsidRDefault="0050689C" w:rsidP="00B621CB">
      <w:pPr>
        <w:spacing w:after="0"/>
        <w:ind w:left="72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>(a) više advokata iz različitih država članica koji se advokaturom bave pod stručnim nazivima iz matične zemlje;</w:t>
      </w:r>
    </w:p>
    <w:p w:rsidR="0050689C" w:rsidRDefault="0050689C" w:rsidP="00B621CB">
      <w:pPr>
        <w:spacing w:after="0"/>
        <w:ind w:firstLine="720"/>
        <w:jc w:val="both"/>
        <w:rPr>
          <w:i/>
          <w:iCs/>
          <w:lang w:val="sr-Latn-CS"/>
        </w:rPr>
      </w:pPr>
      <w:r w:rsidRPr="002F4758">
        <w:rPr>
          <w:i/>
          <w:iCs/>
          <w:lang w:val="sr-Latn-CS"/>
        </w:rPr>
        <w:t>b) jednom ili više advokata iz tačke (a) i jednom ili više advokata iz države prijema.</w:t>
      </w:r>
    </w:p>
    <w:p w:rsidR="0050689C" w:rsidRPr="002F4758" w:rsidRDefault="0050689C" w:rsidP="00B621CB">
      <w:pPr>
        <w:spacing w:after="0"/>
        <w:ind w:firstLine="72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>Način na koji ti advokati zajednički obavljaju delatnost u državi prijema uređuje se zakonima i drugim propisima te države.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i/>
          <w:iCs/>
          <w:lang w:val="sr-Latn-CS"/>
        </w:rPr>
        <w:t>(4) Advokat koji želi da se bavi advokaturom pod stručnim nazivom iz mat</w:t>
      </w:r>
      <w:r>
        <w:rPr>
          <w:i/>
          <w:iCs/>
          <w:lang w:val="sr-Latn-CS"/>
        </w:rPr>
        <w:t xml:space="preserve">ične zemlje obavestiće nadležno telo </w:t>
      </w:r>
      <w:r w:rsidRPr="002F4758">
        <w:rPr>
          <w:i/>
          <w:iCs/>
          <w:lang w:val="sr-Latn-CS"/>
        </w:rPr>
        <w:t xml:space="preserve">države prijema o činjenici da je član </w:t>
      </w:r>
      <w:r>
        <w:rPr>
          <w:i/>
          <w:iCs/>
          <w:lang w:val="sr-Latn-CS"/>
        </w:rPr>
        <w:t xml:space="preserve">oblika </w:t>
      </w:r>
      <w:r w:rsidRPr="002F4758">
        <w:rPr>
          <w:i/>
          <w:iCs/>
          <w:lang w:val="sr-Latn-CS"/>
        </w:rPr>
        <w:t>udruž</w:t>
      </w:r>
      <w:r>
        <w:rPr>
          <w:i/>
          <w:iCs/>
          <w:lang w:val="sr-Latn-CS"/>
        </w:rPr>
        <w:t>iva</w:t>
      </w:r>
      <w:r w:rsidRPr="002F4758">
        <w:rPr>
          <w:i/>
          <w:iCs/>
          <w:lang w:val="sr-Latn-CS"/>
        </w:rPr>
        <w:t>nja</w:t>
      </w:r>
      <w:r>
        <w:rPr>
          <w:i/>
          <w:iCs/>
          <w:lang w:val="sr-Latn-CS"/>
        </w:rPr>
        <w:t xml:space="preserve">advokata </w:t>
      </w:r>
      <w:r w:rsidRPr="002F4758">
        <w:rPr>
          <w:i/>
          <w:iCs/>
          <w:lang w:val="sr-Latn-CS"/>
        </w:rPr>
        <w:t xml:space="preserve"> u matičnoj državi i dostaviće sve relevantne podatke o tom </w:t>
      </w:r>
      <w:r>
        <w:rPr>
          <w:i/>
          <w:iCs/>
          <w:lang w:val="sr-Latn-CS"/>
        </w:rPr>
        <w:t xml:space="preserve">obliku </w:t>
      </w:r>
      <w:r w:rsidRPr="002F4758">
        <w:rPr>
          <w:i/>
          <w:iCs/>
          <w:lang w:val="sr-Latn-CS"/>
        </w:rPr>
        <w:t>udruž</w:t>
      </w:r>
      <w:r>
        <w:rPr>
          <w:i/>
          <w:iCs/>
          <w:lang w:val="sr-Latn-CS"/>
        </w:rPr>
        <w:t>ivanja</w:t>
      </w:r>
      <w:r w:rsidRPr="002F4758">
        <w:rPr>
          <w:i/>
          <w:iCs/>
          <w:lang w:val="sr-Latn-CS"/>
        </w:rPr>
        <w:t>.</w:t>
      </w:r>
      <w:r w:rsidRPr="002F4758">
        <w:rPr>
          <w:lang w:val="sr-Latn-CS"/>
        </w:rPr>
        <w:t>“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Citirani član 11, stav (1), jasno ukazuje na to da bi Srbija </w:t>
      </w:r>
      <w:r>
        <w:rPr>
          <w:lang w:val="sr-Latn-CS"/>
        </w:rPr>
        <w:t>trebalo da</w:t>
      </w:r>
      <w:r w:rsidRPr="002F4758">
        <w:rPr>
          <w:lang w:val="sr-Latn-CS"/>
        </w:rPr>
        <w:t xml:space="preserve"> advokatima iz EU dopusti i druge forme zajedničke advokatske prakse koje trenutno nisu dopuštene srpskim advokatima u skladu sa pravom Srbije. Advokatima iz EU dopušteno je da u Srbiji nastave </w:t>
      </w:r>
      <w:r>
        <w:rPr>
          <w:lang w:val="sr-Latn-CS"/>
        </w:rPr>
        <w:t xml:space="preserve">da se bave </w:t>
      </w:r>
      <w:r w:rsidRPr="002F4758">
        <w:rPr>
          <w:lang w:val="sr-Latn-CS"/>
        </w:rPr>
        <w:t>advokaturom u formi zajedničke prak</w:t>
      </w:r>
      <w:r>
        <w:rPr>
          <w:lang w:val="sr-Latn-CS"/>
        </w:rPr>
        <w:t>s</w:t>
      </w:r>
      <w:r w:rsidRPr="002F4758">
        <w:rPr>
          <w:lang w:val="sr-Latn-CS"/>
        </w:rPr>
        <w:t xml:space="preserve">e iz svoje matične države, a pravo Srbije prevagnuće samo u slučaju kada osnovna pravila koja regulišu takvo udruživanje u matičnoj državi članici nisu u skladu sa osnovnim pravilima utvrđenim zakonom, podzakonskim i upravnim </w:t>
      </w:r>
      <w:r>
        <w:rPr>
          <w:lang w:val="sr-Latn-CS"/>
        </w:rPr>
        <w:t>postupkom</w:t>
      </w:r>
      <w:r w:rsidRPr="002F4758">
        <w:rPr>
          <w:lang w:val="sr-Latn-CS"/>
        </w:rPr>
        <w:t xml:space="preserve"> u Srbiji – i to samo pod uslovom da je primena srpskog prava opravdana javnim interesom u zaštiti stranaka i trećih lica. U pitanju je teško </w:t>
      </w:r>
      <w:r w:rsidRPr="002F4758">
        <w:rPr>
          <w:lang w:val="sr-Latn-CS"/>
        </w:rPr>
        <w:lastRenderedPageBreak/>
        <w:t xml:space="preserve">sprovodiv pravni standard, imajući u vidu nevoljnost Evropske unije da dopusti ograničavanje </w:t>
      </w:r>
      <w:r>
        <w:rPr>
          <w:lang w:val="sr-Latn-CS"/>
        </w:rPr>
        <w:t xml:space="preserve">oblika </w:t>
      </w:r>
      <w:r w:rsidRPr="002F4758">
        <w:rPr>
          <w:lang w:val="sr-Latn-CS"/>
        </w:rPr>
        <w:t xml:space="preserve">pravnih formi (videti čl. 15. Direktive o uslugama br. 2005/123/EZ).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Stoga je</w:t>
      </w:r>
      <w:r>
        <w:rPr>
          <w:lang w:val="sr-Latn-CS"/>
        </w:rPr>
        <w:t xml:space="preserve">, na primer, </w:t>
      </w:r>
      <w:r w:rsidRPr="002F4758">
        <w:rPr>
          <w:lang w:val="sr-Latn-CS"/>
        </w:rPr>
        <w:t xml:space="preserve"> </w:t>
      </w:r>
      <w:r>
        <w:rPr>
          <w:lang w:val="sr-Latn-CS"/>
        </w:rPr>
        <w:t xml:space="preserve"> gotovo svim </w:t>
      </w:r>
      <w:r w:rsidRPr="002F4758">
        <w:rPr>
          <w:lang w:val="sr-Latn-CS"/>
        </w:rPr>
        <w:t>društvima sa ograničenom odgovornošću (</w:t>
      </w:r>
      <w:r w:rsidRPr="002F4758">
        <w:rPr>
          <w:i/>
          <w:iCs/>
          <w:lang w:val="sr-Latn-CS"/>
        </w:rPr>
        <w:t>limited liability partnerships</w:t>
      </w:r>
      <w:r>
        <w:rPr>
          <w:lang w:val="sr-Latn-CS"/>
        </w:rPr>
        <w:t>) dopušteno da „prelaze granice</w:t>
      </w:r>
      <w:r>
        <w:rPr>
          <w:lang w:val="en-US"/>
        </w:rPr>
        <w:t>” EU</w:t>
      </w:r>
      <w:r>
        <w:rPr>
          <w:lang w:val="sr-Latn-CS"/>
        </w:rPr>
        <w:t xml:space="preserve">. </w:t>
      </w:r>
      <w:r w:rsidRPr="002F4758">
        <w:rPr>
          <w:lang w:val="sr-Latn-CS"/>
        </w:rPr>
        <w:t xml:space="preserve">Savet advokatskih komora Evrope (CCBE) razmatrao je ovo pitanje i doneo sledeći </w:t>
      </w:r>
      <w:hyperlink r:id="rId6" w:history="1">
        <w:r w:rsidRPr="002F4758">
          <w:rPr>
            <w:rStyle w:val="Hyperlink"/>
            <w:lang w:val="sr-Latn-CS"/>
          </w:rPr>
          <w:t>zaključak</w:t>
        </w:r>
      </w:hyperlink>
      <w:r w:rsidRPr="002F4758">
        <w:rPr>
          <w:lang w:val="sr-Latn-CS"/>
        </w:rPr>
        <w:t xml:space="preserve"> (sa dva predložena rešenja):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ind w:left="720"/>
        <w:jc w:val="both"/>
        <w:rPr>
          <w:i/>
          <w:lang w:val="sr-Latn-CS"/>
        </w:rPr>
      </w:pPr>
      <w:r>
        <w:rPr>
          <w:i/>
          <w:iCs/>
          <w:lang w:val="sr-Latn-CS"/>
        </w:rPr>
        <w:t>D</w:t>
      </w:r>
      <w:r w:rsidRPr="002F4758">
        <w:rPr>
          <w:i/>
          <w:iCs/>
          <w:lang w:val="sr-Latn-CS"/>
        </w:rPr>
        <w:t xml:space="preserve">elegacije CCBE identifikovale </w:t>
      </w:r>
      <w:r>
        <w:rPr>
          <w:i/>
          <w:iCs/>
          <w:lang w:val="sr-Latn-CS"/>
        </w:rPr>
        <w:t xml:space="preserve">su samo jednu situaciju u kojoj je moguće da </w:t>
      </w:r>
      <w:r w:rsidRPr="002F4758">
        <w:rPr>
          <w:i/>
          <w:iCs/>
          <w:lang w:val="sr-Latn-CS"/>
        </w:rPr>
        <w:t>osnovn</w:t>
      </w:r>
      <w:r>
        <w:rPr>
          <w:i/>
          <w:iCs/>
          <w:lang w:val="sr-Latn-CS"/>
        </w:rPr>
        <w:t>a</w:t>
      </w:r>
      <w:r w:rsidRPr="002F4758">
        <w:rPr>
          <w:i/>
          <w:iCs/>
          <w:lang w:val="sr-Latn-CS"/>
        </w:rPr>
        <w:t xml:space="preserve"> pravila koja regulišu udruživanje advokata u matičnoj državi članici </w:t>
      </w:r>
      <w:r>
        <w:rPr>
          <w:i/>
          <w:iCs/>
          <w:lang w:val="sr-Latn-CS"/>
        </w:rPr>
        <w:t>budu nespojiva sa</w:t>
      </w:r>
      <w:r w:rsidRPr="002F4758">
        <w:rPr>
          <w:i/>
          <w:iCs/>
          <w:lang w:val="sr-Latn-CS"/>
        </w:rPr>
        <w:t xml:space="preserve"> osnovnim pravi</w:t>
      </w:r>
      <w:r>
        <w:rPr>
          <w:i/>
          <w:iCs/>
          <w:lang w:val="sr-Latn-CS"/>
        </w:rPr>
        <w:t xml:space="preserve">lima koja važe u državi prijema; takva situacija javila bi se </w:t>
      </w:r>
      <w:r w:rsidRPr="002F4758">
        <w:rPr>
          <w:i/>
          <w:iCs/>
          <w:lang w:val="sr-Latn-CS"/>
        </w:rPr>
        <w:t xml:space="preserve">kada </w:t>
      </w:r>
      <w:r>
        <w:rPr>
          <w:i/>
          <w:iCs/>
          <w:lang w:val="sr-Latn-CS"/>
        </w:rPr>
        <w:t>dru</w:t>
      </w:r>
      <w:r>
        <w:rPr>
          <w:i/>
          <w:iCs/>
        </w:rPr>
        <w:t>š</w:t>
      </w:r>
      <w:r>
        <w:rPr>
          <w:i/>
          <w:iCs/>
          <w:lang w:val="sr-Latn-CS"/>
        </w:rPr>
        <w:t>tva</w:t>
      </w:r>
      <w:r w:rsidRPr="002F4758">
        <w:rPr>
          <w:i/>
          <w:iCs/>
          <w:lang w:val="sr-Latn-CS"/>
        </w:rPr>
        <w:t xml:space="preserve"> sa ograničenom odgovornošću žele da osnuju ogranak ili predstavništvo u državi članici u kojoj domaćim advokatima nije dopušteno da svoju odgovornost ograniče u meri u kojoj bi to efektivno </w:t>
      </w:r>
      <w:r>
        <w:rPr>
          <w:i/>
          <w:iCs/>
          <w:lang w:val="sr-Latn-CS"/>
        </w:rPr>
        <w:t xml:space="preserve">omogućilo predmetno društvo </w:t>
      </w:r>
      <w:r w:rsidRPr="002F4758">
        <w:rPr>
          <w:i/>
          <w:iCs/>
          <w:lang w:val="sr-Latn-CS"/>
        </w:rPr>
        <w:t>sa ograničenom odgovornošću.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>Međutim, u svetlu člana 54 i 62 Ugovora o funkcionisanju EU ovaj sukob ne može se razrešiti</w:t>
      </w:r>
      <w:r>
        <w:rPr>
          <w:i/>
          <w:iCs/>
          <w:lang w:val="sr-Latn-CS"/>
        </w:rPr>
        <w:t xml:space="preserve"> pukom zabranom osnivanja ogran</w:t>
      </w:r>
      <w:r w:rsidRPr="002F4758">
        <w:rPr>
          <w:i/>
          <w:iCs/>
          <w:lang w:val="sr-Latn-CS"/>
        </w:rPr>
        <w:t>ka strukturama sa ograničenom odgovornošću u takvoj državi prijema.</w:t>
      </w:r>
    </w:p>
    <w:p w:rsidR="0050689C" w:rsidRPr="002F4758" w:rsidRDefault="0050689C" w:rsidP="002F4758">
      <w:pPr>
        <w:spacing w:after="0"/>
        <w:ind w:left="72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ind w:left="72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 xml:space="preserve">Rešenje koje bi bilo u skladu sa pravom takvih </w:t>
      </w:r>
      <w:r>
        <w:rPr>
          <w:i/>
          <w:iCs/>
          <w:lang w:val="sr-Latn-CS"/>
        </w:rPr>
        <w:t>društava</w:t>
      </w:r>
      <w:r w:rsidRPr="002F4758">
        <w:rPr>
          <w:i/>
          <w:iCs/>
          <w:lang w:val="sr-Latn-CS"/>
        </w:rPr>
        <w:t xml:space="preserve"> na osnivanje/poslovno nastanjivanje jeste da se advokatima iz EU dopusti da se advokaturom bave u ogranku </w:t>
      </w:r>
      <w:r>
        <w:rPr>
          <w:i/>
          <w:iCs/>
          <w:lang w:val="sr-Latn-CS"/>
        </w:rPr>
        <w:t>društva</w:t>
      </w:r>
      <w:r w:rsidRPr="002F4758">
        <w:rPr>
          <w:i/>
          <w:iCs/>
          <w:lang w:val="sr-Latn-CS"/>
        </w:rPr>
        <w:t xml:space="preserve"> sa ograničenom odgovornošću u državi prijema, pod uslovom da oni mogu biti lično odgovorni najmanje u istoj meri kao advokati koji se advokaturom bave pod stručnim nazivom te države članice.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Pored toga, država prijema može u takvim slučajevima predvideti obavezu ugovaranja osiguranja od profesionalne odgovornosti sa većim pokrićem kako bi kompenzovala nedostatak lične odgovornosti (kao što je slučaj u Nemačkoj).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Ovde treba razmotriti i sledeće pitanje: ukoliko </w:t>
      </w:r>
      <w:r>
        <w:rPr>
          <w:lang w:val="sr-Latn-CS"/>
        </w:rPr>
        <w:t>se</w:t>
      </w:r>
      <w:r w:rsidRPr="002F4758">
        <w:rPr>
          <w:lang w:val="sr-Latn-CS"/>
        </w:rPr>
        <w:t xml:space="preserve"> advokatima iz EU </w:t>
      </w:r>
      <w:r>
        <w:rPr>
          <w:lang w:val="sr-Latn-CS"/>
        </w:rPr>
        <w:t>mora dopustiti</w:t>
      </w:r>
      <w:r w:rsidRPr="002F4758">
        <w:rPr>
          <w:lang w:val="sr-Latn-CS"/>
        </w:rPr>
        <w:t xml:space="preserve"> da se u Srbiji bave advokaturom u formidruštva sa ograničenom odgovornošću (</w:t>
      </w:r>
      <w:r w:rsidRPr="002F4758">
        <w:rPr>
          <w:i/>
          <w:iCs/>
          <w:lang w:val="sr-Latn-CS"/>
        </w:rPr>
        <w:t>limited liability partnership</w:t>
      </w:r>
      <w:r w:rsidRPr="002F4758">
        <w:rPr>
          <w:lang w:val="sr-Latn-CS"/>
        </w:rPr>
        <w:t xml:space="preserve">), da li bi takvu pravnu formu trebalo omogućiti i srpskim advokatima? U svakom slučaju, ako srpski advokati treba da budu konkurencija advokatima koji dolaze iz EU u predmetima velike vrednosti, u kojima se mogućnost nastanka štete meri milionima evra, onda je pravna forma </w:t>
      </w:r>
      <w:r w:rsidRPr="002F4758">
        <w:rPr>
          <w:i/>
          <w:iCs/>
          <w:lang w:val="sr-Latn-CS"/>
        </w:rPr>
        <w:t xml:space="preserve">limited liability partnership </w:t>
      </w:r>
      <w:r w:rsidRPr="002F4758">
        <w:rPr>
          <w:lang w:val="sr-Latn-CS"/>
        </w:rPr>
        <w:t>možda jedini način da im se omogući pravična utakmica.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2EDB">
      <w:pPr>
        <w:spacing w:after="0"/>
        <w:rPr>
          <w:lang w:val="sr-Latn-CS"/>
        </w:rPr>
      </w:pPr>
      <w:r w:rsidRPr="002F4758">
        <w:rPr>
          <w:lang w:val="sr-Latn-CS"/>
        </w:rPr>
        <w:t xml:space="preserve">Od velikog značaja za srpske komore je i čl. 11(5) koji se odnosi na mogućnost da se advokati iz EU u Srbiji bave advokaturom udruženi sa licima koja nisu advokati. U suštini, ovim članom se nadležnim organima u Srbiji omogućava da pod određenim uslovima takvim formama zabrane ulazak u Srbiju. CCBE je izdao smernice u vezi sa tumačenjem čl. 11(5): </w:t>
      </w:r>
      <w:hyperlink r:id="rId7" w:history="1">
        <w:r w:rsidRPr="002F4758">
          <w:rPr>
            <w:rStyle w:val="Hyperlink"/>
            <w:lang w:val="sr-Latn-CS"/>
          </w:rPr>
          <w:t>http://www.ccbe.eu/fileadmin/user_upload/NTCdocument/EN_12092014_EN_CCBE_1_1412929215.pdf</w:t>
        </w:r>
      </w:hyperlink>
      <w:r w:rsidRPr="002F4758">
        <w:rPr>
          <w:lang w:val="sr-Latn-CS"/>
        </w:rPr>
        <w:t xml:space="preserve">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b/>
          <w:bCs/>
          <w:lang w:val="sr-Latn-CS"/>
        </w:rPr>
        <w:t>(4)</w:t>
      </w:r>
      <w:r w:rsidRPr="002F4758">
        <w:rPr>
          <w:b/>
          <w:bCs/>
          <w:lang w:val="sr-Latn-CS"/>
        </w:rPr>
        <w:tab/>
        <w:t xml:space="preserve">Uticaj </w:t>
      </w:r>
      <w:r>
        <w:rPr>
          <w:b/>
          <w:bCs/>
          <w:iCs/>
          <w:lang w:val="sr-Latn-CS"/>
        </w:rPr>
        <w:t>pravnih tekovina EU</w:t>
      </w:r>
      <w:r w:rsidRPr="002F4758">
        <w:rPr>
          <w:b/>
          <w:bCs/>
          <w:lang w:val="sr-Latn-CS"/>
        </w:rPr>
        <w:t xml:space="preserve"> na pravilo o jednoj kancelariji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(1) </w:t>
      </w:r>
      <w:r w:rsidRPr="002F4758">
        <w:rPr>
          <w:u w:val="single"/>
          <w:lang w:val="sr-Latn-CS"/>
        </w:rPr>
        <w:t>Za srpske advokate</w:t>
      </w:r>
      <w:r w:rsidRPr="002F4758">
        <w:rPr>
          <w:lang w:val="sr-Latn-CS"/>
        </w:rPr>
        <w:t xml:space="preserve">: ovo je jedno od pravila čiju će valjanost država članica morati da ocenjuje u odnosu na </w:t>
      </w:r>
      <w:r>
        <w:rPr>
          <w:lang w:val="sr-Latn-CS"/>
        </w:rPr>
        <w:t xml:space="preserve">ustanovljene </w:t>
      </w:r>
      <w:r w:rsidRPr="002F4758">
        <w:rPr>
          <w:lang w:val="sr-Latn-CS"/>
        </w:rPr>
        <w:t>kriterijume (zabrana diskriminacije, proporcionalnost, nužnost) iz člana 15, 2), (e) Direktive o uslugama (2006/123/EZ):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B621CB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lang w:val="sr-Latn-CS"/>
        </w:rPr>
        <w:t>„</w:t>
      </w:r>
      <w:r w:rsidRPr="002F4758">
        <w:rPr>
          <w:i/>
          <w:iCs/>
          <w:lang w:val="sr-Latn-CS"/>
        </w:rPr>
        <w:t xml:space="preserve">Države članice ispituju da li je u njihovom pravnom sistemu pristup ili obavljanje uslužne delatnosti uslovljeno ispunjavanjem nekih od sledećih </w:t>
      </w:r>
      <w:r>
        <w:rPr>
          <w:i/>
          <w:iCs/>
          <w:lang w:val="sr-Latn-CS"/>
        </w:rPr>
        <w:t xml:space="preserve">nediskriminatornih </w:t>
      </w:r>
      <w:r w:rsidRPr="002F4758">
        <w:rPr>
          <w:i/>
          <w:iCs/>
          <w:lang w:val="sr-Latn-CS"/>
        </w:rPr>
        <w:t>uslova:</w:t>
      </w:r>
      <w:r>
        <w:rPr>
          <w:i/>
          <w:lang w:val="sr-Latn-CS"/>
        </w:rPr>
        <w:t xml:space="preserve"> </w:t>
      </w:r>
      <w:r w:rsidRPr="002F4758">
        <w:rPr>
          <w:i/>
          <w:iCs/>
          <w:lang w:val="sr-Latn-CS"/>
        </w:rPr>
        <w:t>(e) zabrana više od jednog poslovnog nastana na teritoriji iste države.</w:t>
      </w:r>
      <w:r w:rsidRPr="002F4758">
        <w:rPr>
          <w:lang w:val="sr-Latn-CS"/>
        </w:rPr>
        <w:t>“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(2) </w:t>
      </w:r>
      <w:r w:rsidRPr="002F4758">
        <w:rPr>
          <w:u w:val="single"/>
          <w:lang w:val="sr-Latn-CS"/>
        </w:rPr>
        <w:t>Za advokate iz EU</w:t>
      </w:r>
      <w:r>
        <w:rPr>
          <w:lang w:val="sr-Latn-CS"/>
        </w:rPr>
        <w:t>: član 14,</w:t>
      </w:r>
      <w:r w:rsidRPr="002F4758">
        <w:rPr>
          <w:lang w:val="sr-Latn-CS"/>
        </w:rPr>
        <w:t xml:space="preserve"> 2) Direktive o uslugama (2006/123/EZ) nedvosmisleno dopušta advokatima da imaju kancelariju i u matičnoj državi i u državi prijema: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lang w:val="sr-Latn-CS"/>
        </w:rPr>
        <w:t>„</w:t>
      </w:r>
      <w:r w:rsidRPr="002F4758">
        <w:rPr>
          <w:i/>
          <w:iCs/>
          <w:lang w:val="sr-Latn-CS"/>
        </w:rPr>
        <w:t>Države članice neće uslovljavati pristup ili obavljanje uslužne delatnosti na svojoj teritoriji ispunjavanjem sledećih uslova:</w:t>
      </w: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i/>
          <w:lang w:val="sr-Latn-CS"/>
        </w:rPr>
      </w:pPr>
      <w:r w:rsidRPr="002F4758">
        <w:rPr>
          <w:i/>
          <w:iCs/>
          <w:lang w:val="sr-Latn-CS"/>
        </w:rPr>
        <w:t>2) zabrana poslovnog nastanjivanja u više država članica, upisa u registre ili članstva u profesionalnim organizacijama ili udruženjima u više država članica.</w:t>
      </w:r>
      <w:r w:rsidRPr="002F4758">
        <w:rPr>
          <w:lang w:val="sr-Latn-CS"/>
        </w:rPr>
        <w:t>“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Drugim rečima, advokatu iz EU se mora dozvoliti da </w:t>
      </w:r>
      <w:r>
        <w:rPr>
          <w:lang w:val="sr-Latn-CS"/>
        </w:rPr>
        <w:t>otvori</w:t>
      </w:r>
      <w:r w:rsidRPr="002F4758">
        <w:rPr>
          <w:lang w:val="sr-Latn-CS"/>
        </w:rPr>
        <w:t xml:space="preserve"> kancelariju u Srbiji iako već </w:t>
      </w:r>
      <w:r>
        <w:rPr>
          <w:lang w:val="sr-Latn-CS"/>
        </w:rPr>
        <w:t>poseduje</w:t>
      </w:r>
      <w:r w:rsidRPr="002F4758">
        <w:rPr>
          <w:lang w:val="sr-Latn-CS"/>
        </w:rPr>
        <w:t xml:space="preserve"> kancelariju u drugoj državi članici EU.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b/>
          <w:bCs/>
          <w:lang w:val="sr-Latn-CS"/>
        </w:rPr>
        <w:t>(5)</w:t>
      </w:r>
      <w:r w:rsidRPr="002F4758">
        <w:rPr>
          <w:b/>
          <w:bCs/>
          <w:lang w:val="sr-Latn-CS"/>
        </w:rPr>
        <w:tab/>
        <w:t>Advokatska tarifa</w:t>
      </w:r>
      <w:r w:rsidRPr="002F4758">
        <w:rPr>
          <w:lang w:val="sr-Latn-CS"/>
        </w:rPr>
        <w:t xml:space="preserve">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Na nivou EU postoji ozbiljan problem u pogledu advokatskih tarifa, koji ne potiče iz direktiva o advokatima kao takvih, već iz sledeća dva izvora: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(1) primene </w:t>
      </w:r>
      <w:r w:rsidRPr="002F4758">
        <w:rPr>
          <w:u w:val="single"/>
          <w:lang w:val="sr-Latn-CS"/>
        </w:rPr>
        <w:t>prava konkurencije EU</w:t>
      </w:r>
      <w:r w:rsidRPr="002F4758">
        <w:rPr>
          <w:lang w:val="sr-Latn-CS"/>
        </w:rPr>
        <w:t xml:space="preserve"> na advokaturu – videti predmet br. C-35/99 </w:t>
      </w:r>
      <w:r w:rsidRPr="002F4758">
        <w:rPr>
          <w:i/>
          <w:iCs/>
          <w:lang w:val="sr-Latn-CS"/>
        </w:rPr>
        <w:t>Manuele Arduino</w:t>
      </w:r>
      <w:r w:rsidRPr="002F4758">
        <w:rPr>
          <w:lang w:val="sr-Latn-CS"/>
        </w:rPr>
        <w:t xml:space="preserve"> (19. februar 2002) i spojene predmete C-94/04 i C-202/04 </w:t>
      </w:r>
      <w:r w:rsidRPr="002F4758">
        <w:rPr>
          <w:i/>
          <w:iCs/>
          <w:lang w:val="sr-Latn-CS"/>
        </w:rPr>
        <w:t>Cipolla v.</w:t>
      </w:r>
      <w:r w:rsidRPr="002F4758">
        <w:rPr>
          <w:lang w:val="sr-Latn-CS"/>
        </w:rPr>
        <w:t xml:space="preserve"> </w:t>
      </w:r>
      <w:r w:rsidRPr="002F4758">
        <w:rPr>
          <w:i/>
          <w:iCs/>
          <w:lang w:val="sr-Latn-CS"/>
        </w:rPr>
        <w:t>Meloni</w:t>
      </w:r>
      <w:r w:rsidRPr="002F4758">
        <w:rPr>
          <w:lang w:val="sr-Latn-CS"/>
        </w:rPr>
        <w:t xml:space="preserve"> (5. decembar 2006); oba predmeta tiču se utvrđivanja tarife od strane nacionalne komore. Predmeti se zasnivaju na tumačenju člana 101. i 102. Ugovora kojima se zabranjuju karteli i sporazumi kojima se ograničava konkurencija, te zloupotreba dominantnog položaja. U oba navedena predmeta tarifa je smatrana dopuštenom, ali samo zbog toga što saglasnost na tarifu daje vlada (što nije slučaj u Srbiji); time je tarifa podvedena pod izuzetak od uobičajene primene načela zaštite konkurencije.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(2) nakon odluka u navedenim predmetima, Direktivom o uslugama (2006/123/EZ) je kao jedan od elemenata koje svaka država članica mora oceniti u odnosu na određene kriterijume (zabrana diskriminacije, nužnost, proporcionalnost) uvedeno i sledeće (čl. 15. stav 2(g)): </w:t>
      </w:r>
      <w:r w:rsidRPr="002F4758">
        <w:rPr>
          <w:i/>
          <w:iCs/>
          <w:lang w:val="sr-Latn-CS"/>
        </w:rPr>
        <w:t>„fiksne najniže, odnosno najviše tarife sa kojima se pružalac usluga mora uskladiti.</w:t>
      </w:r>
      <w:r w:rsidRPr="002F4758">
        <w:rPr>
          <w:lang w:val="sr-Latn-CS"/>
        </w:rPr>
        <w:t xml:space="preserve">“ Stoga će biti potrebno </w:t>
      </w:r>
      <w:r>
        <w:rPr>
          <w:lang w:val="sr-Latn-CS"/>
        </w:rPr>
        <w:t xml:space="preserve">da se </w:t>
      </w:r>
      <w:r w:rsidRPr="002F4758">
        <w:rPr>
          <w:lang w:val="sr-Latn-CS"/>
        </w:rPr>
        <w:t xml:space="preserve">sistem utvrđivanja i odobravanja advokatske tarife u Srbiji </w:t>
      </w:r>
      <w:r>
        <w:rPr>
          <w:lang w:val="sr-Latn-CS"/>
        </w:rPr>
        <w:t xml:space="preserve">detaljno ispita </w:t>
      </w:r>
      <w:r w:rsidRPr="002F4758">
        <w:rPr>
          <w:lang w:val="sr-Latn-CS"/>
        </w:rPr>
        <w:t>kako bi se obezbedila njegova usklađenost sa merodavnim pravom. Mnoge države članice odustale su od advokatskih tarifa, dok su neke eventualno zadržale tarife koje odobrava vlada, u skladu sa sudskom praksom navedenom pod stavkom (1).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Primera radi, Nemačka i Austrija imaju tarifu ali je u pitanju tarifa koju u formi zakona donosi parlament, a ne komora.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(6)</w:t>
      </w:r>
      <w:r w:rsidRPr="002F4758">
        <w:rPr>
          <w:b/>
          <w:bCs/>
          <w:lang w:val="sr-Latn-CS"/>
        </w:rPr>
        <w:tab/>
        <w:t>Iskustva advokata u državama članicama EU o pravnim tekovinama koje se tiču slobodnog kretanja advokata; uticaj unutrašnjeg tržišta na advokaturu; kakve promene mogu da očekuju advokati iz Srbije?</w:t>
      </w: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Uvođenje pravnih </w:t>
      </w:r>
      <w:r>
        <w:rPr>
          <w:lang w:val="sr-Latn-CS"/>
        </w:rPr>
        <w:t>tekovina</w:t>
      </w:r>
      <w:r w:rsidRPr="002F4758">
        <w:rPr>
          <w:lang w:val="sr-Latn-CS"/>
        </w:rPr>
        <w:t xml:space="preserve"> EU, a naročito onih koji se tiču slobode kretanja advokata, nije dovelo do velikih i momentalnih promena u životima advokat</w:t>
      </w:r>
      <w:r>
        <w:rPr>
          <w:lang w:val="sr-Latn-CS"/>
        </w:rPr>
        <w:t>a. Uticaj na advokate ogleda</w:t>
      </w:r>
      <w:r w:rsidRPr="002F4758">
        <w:rPr>
          <w:lang w:val="sr-Latn-CS"/>
        </w:rPr>
        <w:t xml:space="preserve"> se u sledećem: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b/>
          <w:lang w:val="sr-Latn-CS"/>
        </w:rPr>
      </w:pPr>
      <w:r w:rsidRPr="002F4758">
        <w:rPr>
          <w:b/>
          <w:bCs/>
          <w:lang w:val="sr-Latn-CS"/>
        </w:rPr>
        <w:t>Sloboda kretanja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Advokati nisu iznenada pojurili </w:t>
      </w:r>
      <w:r>
        <w:rPr>
          <w:lang w:val="sr-Latn-CS"/>
        </w:rPr>
        <w:t>da vrše usluge u drugim državama članicama EU</w:t>
      </w:r>
      <w:r w:rsidRPr="002F4758">
        <w:rPr>
          <w:lang w:val="sr-Latn-CS"/>
        </w:rPr>
        <w:t xml:space="preserve">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Oduvek je i u značajnoj meri bilo </w:t>
      </w:r>
      <w:r>
        <w:rPr>
          <w:lang w:val="sr-Latn-CS"/>
        </w:rPr>
        <w:t xml:space="preserve">privremenog </w:t>
      </w:r>
      <w:r w:rsidRPr="002F4758">
        <w:rPr>
          <w:lang w:val="sr-Latn-CS"/>
        </w:rPr>
        <w:t>pružanja usluga u drugim državama, i to se praktično nije ni promenilo uvođenjem Direktive 77/249/EEZ. Ova direktiva</w:t>
      </w:r>
      <w:r>
        <w:rPr>
          <w:lang w:val="sr-Latn-CS"/>
        </w:rPr>
        <w:t xml:space="preserve"> </w:t>
      </w:r>
      <w:r w:rsidRPr="002F4758">
        <w:rPr>
          <w:lang w:val="sr-Latn-CS"/>
        </w:rPr>
        <w:t xml:space="preserve">je samo pružila regulatorni okvir </w:t>
      </w:r>
      <w:r>
        <w:rPr>
          <w:lang w:val="sr-Latn-CS"/>
        </w:rPr>
        <w:t>i nije se u većoj meri primenjivala</w:t>
      </w:r>
      <w:r w:rsidRPr="002F4758">
        <w:rPr>
          <w:lang w:val="sr-Latn-CS"/>
        </w:rPr>
        <w:t>(sudeći po pritužbama upućenim advokatskim komorama ili sudskim sporovima u vezi sa tom direktivom). Privremeno pružanje usluga nikada nije bilo predmet veće pažnje nadzornih tela - kratak službeni put, telefonski razgovor, itd. Situacija je i dalje takva.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>Što se tiče trajnog poslovnog nastanjivanja, to se odrazilo na sledeće kategorije: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pStyle w:val="ListParagraph"/>
        <w:numPr>
          <w:ilvl w:val="0"/>
          <w:numId w:val="3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velike advokatske </w:t>
      </w:r>
      <w:r>
        <w:rPr>
          <w:lang w:val="sr-Latn-CS"/>
        </w:rPr>
        <w:t>kancelarije</w:t>
      </w:r>
      <w:r w:rsidRPr="002F4758">
        <w:rPr>
          <w:lang w:val="sr-Latn-CS"/>
        </w:rPr>
        <w:t xml:space="preserve"> zainteresovane za pružanje usluga u poslovnim transakcijama klijent</w:t>
      </w:r>
      <w:r>
        <w:rPr>
          <w:lang w:val="sr-Latn-CS"/>
        </w:rPr>
        <w:t>ima u drugim državama članicama</w:t>
      </w:r>
    </w:p>
    <w:p w:rsidR="0050689C" w:rsidRPr="002F4758" w:rsidRDefault="0050689C" w:rsidP="002F4758">
      <w:pPr>
        <w:pStyle w:val="ListParagraph"/>
        <w:numPr>
          <w:ilvl w:val="0"/>
          <w:numId w:val="3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penzionisane advokate (npr. u španskom i portugalskom primorju) koji pružaju usluge </w:t>
      </w:r>
      <w:r>
        <w:rPr>
          <w:lang w:val="sr-Latn-CS"/>
        </w:rPr>
        <w:t>lokalnoj zajednici iseljenika</w:t>
      </w:r>
    </w:p>
    <w:p w:rsidR="0050689C" w:rsidRPr="002F4758" w:rsidRDefault="0050689C" w:rsidP="002F4758">
      <w:pPr>
        <w:pStyle w:val="ListParagraph"/>
        <w:numPr>
          <w:ilvl w:val="0"/>
          <w:numId w:val="3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>advokate koji žive u pograničnim područjima</w:t>
      </w:r>
    </w:p>
    <w:p w:rsidR="0050689C" w:rsidRPr="002F4758" w:rsidRDefault="0050689C" w:rsidP="002F4758">
      <w:pPr>
        <w:pStyle w:val="ListParagraph"/>
        <w:numPr>
          <w:ilvl w:val="0"/>
          <w:numId w:val="3"/>
        </w:num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advokate koji se presele u drugu državu članicu iz privatnih razloga, npr. zbog </w:t>
      </w:r>
      <w:r>
        <w:rPr>
          <w:lang w:val="sr-Latn-CS"/>
        </w:rPr>
        <w:t xml:space="preserve">sklapanja </w:t>
      </w:r>
      <w:r w:rsidRPr="002F4758">
        <w:rPr>
          <w:lang w:val="sr-Latn-CS"/>
        </w:rPr>
        <w:t>braka.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Iako u EU postoji oko milion advokata, broj </w:t>
      </w:r>
      <w:r>
        <w:rPr>
          <w:lang w:val="sr-Latn-CS"/>
        </w:rPr>
        <w:t xml:space="preserve">onih </w:t>
      </w:r>
      <w:r w:rsidRPr="002F4758">
        <w:rPr>
          <w:lang w:val="sr-Latn-CS"/>
        </w:rPr>
        <w:t xml:space="preserve">koji su se trajno preselili i registrovali kod lokalnih komora iznosi tek nekoliko hiljada i uglavnom je vezan za velike trgovinske centre (London, Brisel, Pariz, Frankfurt), gde se uglavnom bave poslovnim transakcijama. 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Najznačajnije neposredne promene će stoga osetiti velike advokatske </w:t>
      </w:r>
      <w:r>
        <w:rPr>
          <w:lang w:val="sr-Latn-CS"/>
        </w:rPr>
        <w:t>kancelarije</w:t>
      </w:r>
      <w:r w:rsidRPr="002F4758">
        <w:rPr>
          <w:lang w:val="sr-Latn-CS"/>
        </w:rPr>
        <w:t xml:space="preserve">, budući da druge firme iz EU mogu biti zainteresovane za preuzimanje njihovih poslova. Međutim, takvim </w:t>
      </w:r>
      <w:r>
        <w:rPr>
          <w:lang w:val="sr-Latn-CS"/>
        </w:rPr>
        <w:t>kancilarijama</w:t>
      </w:r>
      <w:r w:rsidRPr="002F4758">
        <w:rPr>
          <w:lang w:val="sr-Latn-CS"/>
        </w:rPr>
        <w:t xml:space="preserve"> iz EU će uvek biti potrebni lokalni advokati. Iz tog razloga se sveukupni uticaj uglavnom smatra pozitivnim po lokalno tržište usled </w:t>
      </w:r>
      <w:r>
        <w:rPr>
          <w:lang w:val="sr-Latn-CS"/>
        </w:rPr>
        <w:t xml:space="preserve">povećanja obima posla i mogućnosti usavršavanja </w:t>
      </w:r>
      <w:r w:rsidRPr="002F4758">
        <w:rPr>
          <w:lang w:val="sr-Latn-CS"/>
        </w:rPr>
        <w:t xml:space="preserve">(i boljih uslova) </w:t>
      </w:r>
      <w:r>
        <w:rPr>
          <w:lang w:val="sr-Latn-CS"/>
        </w:rPr>
        <w:t xml:space="preserve">za lokalne advokate </w:t>
      </w:r>
      <w:r w:rsidRPr="002F4758">
        <w:rPr>
          <w:lang w:val="sr-Latn-CS"/>
        </w:rPr>
        <w:t xml:space="preserve">u nekim od najboljih internacionalnih advokatskih </w:t>
      </w:r>
      <w:r>
        <w:rPr>
          <w:lang w:val="sr-Latn-CS"/>
        </w:rPr>
        <w:t>kancelarija</w:t>
      </w:r>
      <w:r w:rsidRPr="002F4758">
        <w:rPr>
          <w:lang w:val="sr-Latn-CS"/>
        </w:rPr>
        <w:t xml:space="preserve"> na svetu.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Uopšteno posmatrano, na nivou nižem od velikih advokatskih </w:t>
      </w:r>
      <w:r>
        <w:rPr>
          <w:lang w:val="sr-Latn-CS"/>
        </w:rPr>
        <w:t>kancelarija</w:t>
      </w:r>
      <w:r w:rsidRPr="002F4758">
        <w:rPr>
          <w:lang w:val="sr-Latn-CS"/>
        </w:rPr>
        <w:t xml:space="preserve"> nema konkurencije. Ostali advokati iz EU nisu zainteresovani za zastupanje pred sudom niti druge usluge pojed</w:t>
      </w:r>
      <w:r>
        <w:rPr>
          <w:lang w:val="sr-Latn-CS"/>
        </w:rPr>
        <w:t>incima (npr. odbrana u krivičnim predmetima</w:t>
      </w:r>
      <w:r w:rsidRPr="002F4758">
        <w:rPr>
          <w:lang w:val="sr-Latn-CS"/>
        </w:rPr>
        <w:t xml:space="preserve">, </w:t>
      </w:r>
      <w:r>
        <w:rPr>
          <w:lang w:val="sr-Latn-CS"/>
        </w:rPr>
        <w:t>naknada štete</w:t>
      </w:r>
      <w:r w:rsidRPr="002F4758">
        <w:rPr>
          <w:lang w:val="sr-Latn-CS"/>
        </w:rPr>
        <w:t xml:space="preserve"> za telesne povrede, zaveštanja i zakonsko nasleđivanje, razvod braka, itd.) čime se bavi većina advokata koji se advokaturom bave samostalno.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Default="0050689C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br w:type="page"/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b/>
          <w:bCs/>
          <w:lang w:val="sr-Latn-CS"/>
        </w:rPr>
        <w:t>Pravni saveti o propisima EU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I ovde će se uticaj najpre osetiti među velikim advokatskim </w:t>
      </w:r>
      <w:r>
        <w:rPr>
          <w:lang w:val="sr-Latn-CS"/>
        </w:rPr>
        <w:t>kancelarijama</w:t>
      </w:r>
      <w:r w:rsidRPr="002F4758">
        <w:rPr>
          <w:lang w:val="sr-Latn-CS"/>
        </w:rPr>
        <w:t xml:space="preserve"> budući da će velikom broju njihovih klijenata biti potrebni saveti o različitim aspektima prava Evropske Unije, npr. u oblasti zaštite životne sredine, energetike, zaštite konkurencije, itd.</w:t>
      </w:r>
    </w:p>
    <w:p w:rsidR="0050689C" w:rsidRPr="002F4758" w:rsidRDefault="0050689C" w:rsidP="002F4758">
      <w:pPr>
        <w:spacing w:after="0"/>
        <w:jc w:val="both"/>
        <w:rPr>
          <w:lang w:val="sr-Latn-CS"/>
        </w:rPr>
      </w:pPr>
    </w:p>
    <w:p w:rsidR="0050689C" w:rsidRPr="002F4758" w:rsidRDefault="0050689C" w:rsidP="002F4758">
      <w:pPr>
        <w:spacing w:after="0"/>
        <w:jc w:val="both"/>
        <w:rPr>
          <w:lang w:val="sr-Latn-CS"/>
        </w:rPr>
      </w:pPr>
      <w:r w:rsidRPr="002F4758">
        <w:rPr>
          <w:lang w:val="sr-Latn-CS"/>
        </w:rPr>
        <w:t xml:space="preserve">Međutim, u dogledno vreme će svi advokati osetiti promenu jer iskustva iz drugih država članica pokazuju da se sloboda kretanja vremenom odražava na veliki deo populacije i </w:t>
      </w:r>
      <w:r>
        <w:rPr>
          <w:lang w:val="sr-Latn-CS"/>
        </w:rPr>
        <w:t>sa sobom donosi</w:t>
      </w:r>
      <w:r w:rsidRPr="002F4758">
        <w:rPr>
          <w:lang w:val="sr-Latn-CS"/>
        </w:rPr>
        <w:t xml:space="preserve"> potrebu za pružanjem saveta o određenim aspektima prava EU: </w:t>
      </w:r>
      <w:r>
        <w:rPr>
          <w:lang w:val="sr-Latn-CS"/>
        </w:rPr>
        <w:t>sklapanje</w:t>
      </w:r>
      <w:r w:rsidRPr="002F4758">
        <w:rPr>
          <w:lang w:val="sr-Latn-CS"/>
        </w:rPr>
        <w:t xml:space="preserve"> i razvod braka među licima iz različitih država, nezgode u drugim državama članicama, </w:t>
      </w:r>
      <w:r>
        <w:rPr>
          <w:lang w:val="sr-Latn-CS"/>
        </w:rPr>
        <w:t xml:space="preserve">zaveštanja </w:t>
      </w:r>
      <w:r w:rsidRPr="002F4758">
        <w:rPr>
          <w:lang w:val="sr-Latn-CS"/>
        </w:rPr>
        <w:t>i zakonsko nasleđivanje sa inostranim elementom, itd.</w:t>
      </w:r>
    </w:p>
    <w:sectPr w:rsidR="0050689C" w:rsidRPr="002F4758" w:rsidSect="00A9419F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B52"/>
    <w:multiLevelType w:val="hybridMultilevel"/>
    <w:tmpl w:val="75AE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275"/>
    <w:multiLevelType w:val="hybridMultilevel"/>
    <w:tmpl w:val="99E0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321F8"/>
    <w:multiLevelType w:val="hybridMultilevel"/>
    <w:tmpl w:val="1DA481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A41AD"/>
    <w:multiLevelType w:val="hybridMultilevel"/>
    <w:tmpl w:val="B0EE49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60AC1"/>
    <w:multiLevelType w:val="hybridMultilevel"/>
    <w:tmpl w:val="82A200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F7"/>
    <w:rsid w:val="0000592F"/>
    <w:rsid w:val="00006C29"/>
    <w:rsid w:val="00007A80"/>
    <w:rsid w:val="00011FB5"/>
    <w:rsid w:val="00043398"/>
    <w:rsid w:val="00064987"/>
    <w:rsid w:val="00081908"/>
    <w:rsid w:val="000920D4"/>
    <w:rsid w:val="000C2EFE"/>
    <w:rsid w:val="000C7943"/>
    <w:rsid w:val="000F0105"/>
    <w:rsid w:val="001179A7"/>
    <w:rsid w:val="001432B7"/>
    <w:rsid w:val="00157207"/>
    <w:rsid w:val="00183587"/>
    <w:rsid w:val="001856F5"/>
    <w:rsid w:val="00195611"/>
    <w:rsid w:val="001B2E04"/>
    <w:rsid w:val="001D103F"/>
    <w:rsid w:val="001E624D"/>
    <w:rsid w:val="001F23DA"/>
    <w:rsid w:val="002017AF"/>
    <w:rsid w:val="00220C32"/>
    <w:rsid w:val="00227337"/>
    <w:rsid w:val="00290315"/>
    <w:rsid w:val="002D74F7"/>
    <w:rsid w:val="002E7C50"/>
    <w:rsid w:val="002F2EDB"/>
    <w:rsid w:val="002F4758"/>
    <w:rsid w:val="00330B68"/>
    <w:rsid w:val="00352001"/>
    <w:rsid w:val="00366373"/>
    <w:rsid w:val="00366E82"/>
    <w:rsid w:val="003A1279"/>
    <w:rsid w:val="003E1B6F"/>
    <w:rsid w:val="003F3B64"/>
    <w:rsid w:val="003F726E"/>
    <w:rsid w:val="00405FEA"/>
    <w:rsid w:val="004747AA"/>
    <w:rsid w:val="0049250E"/>
    <w:rsid w:val="004A4326"/>
    <w:rsid w:val="004A7ADD"/>
    <w:rsid w:val="004C33BA"/>
    <w:rsid w:val="004E14B9"/>
    <w:rsid w:val="004E77DA"/>
    <w:rsid w:val="0050689C"/>
    <w:rsid w:val="005410C4"/>
    <w:rsid w:val="00546456"/>
    <w:rsid w:val="00552F7F"/>
    <w:rsid w:val="00556109"/>
    <w:rsid w:val="0056001E"/>
    <w:rsid w:val="005711E7"/>
    <w:rsid w:val="00581DD6"/>
    <w:rsid w:val="005941E8"/>
    <w:rsid w:val="005A5C88"/>
    <w:rsid w:val="005B2A95"/>
    <w:rsid w:val="005B7C2D"/>
    <w:rsid w:val="005D3B71"/>
    <w:rsid w:val="00625C94"/>
    <w:rsid w:val="006550F0"/>
    <w:rsid w:val="006723B5"/>
    <w:rsid w:val="00684862"/>
    <w:rsid w:val="006F3D51"/>
    <w:rsid w:val="00704C2A"/>
    <w:rsid w:val="00716C66"/>
    <w:rsid w:val="0077114C"/>
    <w:rsid w:val="007B7C2C"/>
    <w:rsid w:val="007D00EE"/>
    <w:rsid w:val="007F370B"/>
    <w:rsid w:val="007F4C83"/>
    <w:rsid w:val="0081256A"/>
    <w:rsid w:val="0081728F"/>
    <w:rsid w:val="00844222"/>
    <w:rsid w:val="00887528"/>
    <w:rsid w:val="008B06C4"/>
    <w:rsid w:val="008B2813"/>
    <w:rsid w:val="008B6703"/>
    <w:rsid w:val="008D453C"/>
    <w:rsid w:val="00903ABF"/>
    <w:rsid w:val="00910388"/>
    <w:rsid w:val="00914580"/>
    <w:rsid w:val="009506EB"/>
    <w:rsid w:val="0095159A"/>
    <w:rsid w:val="00975B8B"/>
    <w:rsid w:val="0098649B"/>
    <w:rsid w:val="00992F91"/>
    <w:rsid w:val="009946EA"/>
    <w:rsid w:val="009A04F7"/>
    <w:rsid w:val="009C29EB"/>
    <w:rsid w:val="009C4B82"/>
    <w:rsid w:val="009E5171"/>
    <w:rsid w:val="009F1565"/>
    <w:rsid w:val="00A06273"/>
    <w:rsid w:val="00A3179B"/>
    <w:rsid w:val="00A346DA"/>
    <w:rsid w:val="00A9419F"/>
    <w:rsid w:val="00AC5B3D"/>
    <w:rsid w:val="00AC6269"/>
    <w:rsid w:val="00B07F38"/>
    <w:rsid w:val="00B22B5B"/>
    <w:rsid w:val="00B3037C"/>
    <w:rsid w:val="00B621CB"/>
    <w:rsid w:val="00BC2873"/>
    <w:rsid w:val="00BC5FA2"/>
    <w:rsid w:val="00BC7E82"/>
    <w:rsid w:val="00BE50AA"/>
    <w:rsid w:val="00BF32D1"/>
    <w:rsid w:val="00BF74D7"/>
    <w:rsid w:val="00C52D11"/>
    <w:rsid w:val="00C659C2"/>
    <w:rsid w:val="00C72390"/>
    <w:rsid w:val="00C83CD7"/>
    <w:rsid w:val="00CC1C9A"/>
    <w:rsid w:val="00CD2FC5"/>
    <w:rsid w:val="00CF4E22"/>
    <w:rsid w:val="00D203E8"/>
    <w:rsid w:val="00D31927"/>
    <w:rsid w:val="00D716D8"/>
    <w:rsid w:val="00D7487B"/>
    <w:rsid w:val="00D93305"/>
    <w:rsid w:val="00D9455B"/>
    <w:rsid w:val="00DA4377"/>
    <w:rsid w:val="00DD218C"/>
    <w:rsid w:val="00DE3536"/>
    <w:rsid w:val="00E23DD3"/>
    <w:rsid w:val="00E65185"/>
    <w:rsid w:val="00E80448"/>
    <w:rsid w:val="00E85716"/>
    <w:rsid w:val="00EC0F80"/>
    <w:rsid w:val="00EE6482"/>
    <w:rsid w:val="00EF15C5"/>
    <w:rsid w:val="00F250D3"/>
    <w:rsid w:val="00F513E3"/>
    <w:rsid w:val="00F5403D"/>
    <w:rsid w:val="00F605CF"/>
    <w:rsid w:val="00F745EF"/>
    <w:rsid w:val="00FC4DE1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C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1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13E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017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17AF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17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7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be.eu/fileadmin/user_upload/NTCdocument/EN_12092014_EN_CCBE_1_14129292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(http:/www.ccbe.eu/fileadmin/user_upload/NTCdocument/EN_12092014_EN_CCBE_1_1412929215.pdf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890C-77C9-4548-8C64-14E12CD8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3456</Words>
  <Characters>19702</Characters>
  <Application>Microsoft Office Word</Application>
  <DocSecurity>0</DocSecurity>
  <Lines>164</Lines>
  <Paragraphs>46</Paragraphs>
  <ScaleCrop>false</ScaleCrop>
  <Company>Hewlett-Packard Company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integration and advocacy – key questions and challenges</dc:title>
  <dc:subject/>
  <dc:creator>Jonathan</dc:creator>
  <cp:keywords/>
  <dc:description/>
  <cp:lastModifiedBy>predsednik_AKSrbije</cp:lastModifiedBy>
  <cp:revision>4</cp:revision>
  <dcterms:created xsi:type="dcterms:W3CDTF">2016-04-18T10:00:00Z</dcterms:created>
  <dcterms:modified xsi:type="dcterms:W3CDTF">2016-04-18T10:55:00Z</dcterms:modified>
</cp:coreProperties>
</file>