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E" w:rsidRPr="003B0319" w:rsidRDefault="008B536E">
      <w:pPr>
        <w:spacing w:before="100" w:beforeAutospacing="1" w:after="0" w:line="240" w:lineRule="auto"/>
        <w:ind w:left="720" w:right="45"/>
        <w:jc w:val="center"/>
        <w:rPr>
          <w:b/>
          <w:bCs/>
          <w:color w:val="000000"/>
          <w:sz w:val="24"/>
          <w:szCs w:val="24"/>
          <w:lang w:val="sr-Latn-CS"/>
        </w:rPr>
      </w:pPr>
      <w:bookmarkStart w:id="0" w:name="_GoBack"/>
      <w:bookmarkEnd w:id="0"/>
      <w:r w:rsidRPr="003B0319">
        <w:rPr>
          <w:b/>
          <w:bCs/>
          <w:color w:val="000000"/>
          <w:sz w:val="24"/>
          <w:szCs w:val="24"/>
          <w:lang w:val="sr-Latn-CS"/>
        </w:rPr>
        <w:t xml:space="preserve">ZAVRŠNI IZVEŠTAJ O MISIJI ZA </w:t>
      </w:r>
      <w:r w:rsidR="003B0319">
        <w:rPr>
          <w:b/>
          <w:bCs/>
          <w:color w:val="000000"/>
          <w:sz w:val="24"/>
          <w:szCs w:val="24"/>
          <w:lang w:val="sr-Latn-CS"/>
        </w:rPr>
        <w:t>„</w:t>
      </w:r>
      <w:r w:rsidRPr="003B0319">
        <w:rPr>
          <w:b/>
          <w:bCs/>
          <w:color w:val="000000"/>
          <w:sz w:val="24"/>
          <w:szCs w:val="24"/>
          <w:lang w:val="sr-Latn-CS"/>
        </w:rPr>
        <w:t>NE-KLJUČNE</w:t>
      </w:r>
      <w:r w:rsidR="003B0319">
        <w:rPr>
          <w:b/>
          <w:bCs/>
          <w:color w:val="000000"/>
          <w:sz w:val="24"/>
          <w:szCs w:val="24"/>
          <w:lang w:val="sr-Latn-CS"/>
        </w:rPr>
        <w:t>“</w:t>
      </w:r>
      <w:r w:rsidRPr="003B0319">
        <w:rPr>
          <w:b/>
          <w:bCs/>
          <w:color w:val="000000"/>
          <w:sz w:val="24"/>
          <w:szCs w:val="24"/>
          <w:lang w:val="sr-Latn-CS"/>
        </w:rPr>
        <w:t xml:space="preserve"> EKSPERTE</w:t>
      </w:r>
    </w:p>
    <w:p w:rsidR="008B536E" w:rsidRPr="003B0319" w:rsidRDefault="008B536E">
      <w:pPr>
        <w:spacing w:after="0" w:line="240" w:lineRule="auto"/>
        <w:rPr>
          <w:color w:val="000000"/>
          <w:lang w:val="sr-Latn-CS"/>
        </w:rPr>
      </w:pPr>
    </w:p>
    <w:p w:rsidR="008B536E" w:rsidRPr="008A21AE" w:rsidRDefault="008B536E">
      <w:pPr>
        <w:spacing w:after="0" w:line="240" w:lineRule="auto"/>
        <w:rPr>
          <w:b/>
          <w:i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 xml:space="preserve">Naziv projekta:       </w:t>
      </w:r>
      <w:r w:rsidRPr="003B0319">
        <w:rPr>
          <w:color w:val="000000"/>
          <w:lang w:val="sr-Latn-CS"/>
        </w:rPr>
        <w:t>Policy and Legal Advice Center</w:t>
      </w:r>
      <w:r w:rsidR="008A21AE">
        <w:rPr>
          <w:color w:val="000000"/>
          <w:lang w:val="sr-Latn-CS"/>
        </w:rPr>
        <w:t xml:space="preserve"> /</w:t>
      </w:r>
      <w:r w:rsidR="008A21AE">
        <w:rPr>
          <w:i/>
          <w:color w:val="000000"/>
          <w:lang w:val="sr-Latn-CS"/>
        </w:rPr>
        <w:t>Pravni i politički savetodavni centar – PLAC</w:t>
      </w:r>
      <w:r w:rsidR="008A21AE" w:rsidRPr="008A21AE">
        <w:rPr>
          <w:color w:val="000000"/>
          <w:lang w:val="sr-Latn-CS"/>
        </w:rPr>
        <w:t>/</w:t>
      </w:r>
    </w:p>
    <w:p w:rsidR="008B536E" w:rsidRPr="003B0319" w:rsidRDefault="008B536E">
      <w:pPr>
        <w:spacing w:after="0" w:line="240" w:lineRule="auto"/>
        <w:jc w:val="both"/>
        <w:rPr>
          <w:b/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 </w:t>
      </w:r>
      <w:r w:rsidRPr="003B0319">
        <w:rPr>
          <w:b/>
          <w:color w:val="000000"/>
          <w:lang w:val="sr-Latn-CS"/>
        </w:rPr>
        <w:t xml:space="preserve">                       </w:t>
      </w:r>
      <w:r w:rsidRPr="003B0319">
        <w:rPr>
          <w:color w:val="000000"/>
          <w:lang w:val="sr-Latn-CS"/>
        </w:rPr>
        <w:t xml:space="preserve">           </w:t>
      </w:r>
      <w:r w:rsidRPr="003B0319">
        <w:rPr>
          <w:bCs/>
          <w:color w:val="000000"/>
          <w:shd w:val="clear" w:color="auto" w:fill="FFFFFF"/>
          <w:lang w:val="sr-Latn-CS"/>
        </w:rPr>
        <w:t>EuropeAid/131430/C/SER/RS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5"/>
        <w:gridCol w:w="7497"/>
      </w:tblGrid>
      <w:tr w:rsidR="008B536E" w:rsidRPr="003B0319">
        <w:tc>
          <w:tcPr>
            <w:tcW w:w="1770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lang w:val="sr-Latn-CS"/>
              </w:rPr>
            </w:pPr>
            <w:r w:rsidRPr="003B0319">
              <w:rPr>
                <w:b/>
                <w:color w:val="000000"/>
                <w:lang w:val="sr-Latn-CS"/>
              </w:rPr>
              <w:t>Izvođač:</w:t>
            </w:r>
          </w:p>
        </w:tc>
        <w:tc>
          <w:tcPr>
            <w:tcW w:w="7806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lang w:val="sr-Latn-CS"/>
              </w:rPr>
            </w:pPr>
            <w:r w:rsidRPr="003B0319">
              <w:rPr>
                <w:color w:val="000000"/>
                <w:lang w:val="sr-Latn-CS"/>
              </w:rPr>
              <w:t>DMI u konzorcijumu sa Altair Asesores, Hulla&amp;Co.Human Dynamics, INCOM i European Consulting Group</w:t>
            </w:r>
          </w:p>
        </w:tc>
      </w:tr>
      <w:tr w:rsidR="008B536E" w:rsidRPr="003B0319">
        <w:tc>
          <w:tcPr>
            <w:tcW w:w="1770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lang w:val="sr-Latn-CS"/>
              </w:rPr>
            </w:pPr>
            <w:r w:rsidRPr="003B0319">
              <w:rPr>
                <w:b/>
                <w:color w:val="000000"/>
                <w:lang w:val="sr-Latn-CS"/>
              </w:rPr>
              <w:t>Angažman:</w:t>
            </w:r>
          </w:p>
        </w:tc>
        <w:tc>
          <w:tcPr>
            <w:tcW w:w="7806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bCs/>
                <w:color w:val="000000"/>
                <w:highlight w:val="yellow"/>
                <w:lang w:val="sr-Latn-CS"/>
              </w:rPr>
            </w:pPr>
            <w:r w:rsidRPr="003B0319">
              <w:rPr>
                <w:bCs/>
                <w:color w:val="000000"/>
                <w:lang w:val="sr-Latn-CS"/>
              </w:rPr>
              <w:t>poglavlje 3 pravnih tekovina EU – advokati</w:t>
            </w:r>
          </w:p>
        </w:tc>
      </w:tr>
      <w:tr w:rsidR="008B536E" w:rsidRPr="003B0319">
        <w:tc>
          <w:tcPr>
            <w:tcW w:w="1770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lang w:val="sr-Latn-CS"/>
              </w:rPr>
            </w:pPr>
            <w:r w:rsidRPr="003B0319">
              <w:rPr>
                <w:b/>
                <w:color w:val="000000"/>
                <w:lang w:val="sr-Latn-CS"/>
              </w:rPr>
              <w:t>NK ekspert:</w:t>
            </w:r>
          </w:p>
        </w:tc>
        <w:tc>
          <w:tcPr>
            <w:tcW w:w="7806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highlight w:val="yellow"/>
                <w:lang w:val="sr-Latn-CS"/>
              </w:rPr>
            </w:pPr>
            <w:r w:rsidRPr="003B0319">
              <w:rPr>
                <w:color w:val="000000"/>
                <w:lang w:val="sr-Latn-CS"/>
              </w:rPr>
              <w:t xml:space="preserve">Jonathan Goldsmith </w:t>
            </w:r>
          </w:p>
        </w:tc>
      </w:tr>
      <w:tr w:rsidR="008B536E" w:rsidRPr="003B0319">
        <w:tc>
          <w:tcPr>
            <w:tcW w:w="1770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lang w:val="sr-Latn-CS"/>
              </w:rPr>
            </w:pPr>
            <w:r w:rsidRPr="003B0319">
              <w:rPr>
                <w:b/>
                <w:color w:val="000000"/>
                <w:lang w:val="sr-Latn-CS"/>
              </w:rPr>
              <w:t>Misija:</w:t>
            </w:r>
          </w:p>
        </w:tc>
        <w:tc>
          <w:tcPr>
            <w:tcW w:w="7806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highlight w:val="yellow"/>
                <w:lang w:val="sr-Latn-CS"/>
              </w:rPr>
            </w:pPr>
            <w:r w:rsidRPr="003B0319">
              <w:rPr>
                <w:color w:val="000000"/>
                <w:lang w:val="sr-Latn-CS"/>
              </w:rPr>
              <w:t>januar - april 2016.</w:t>
            </w:r>
          </w:p>
        </w:tc>
      </w:tr>
      <w:tr w:rsidR="008B536E" w:rsidRPr="003B0319">
        <w:tc>
          <w:tcPr>
            <w:tcW w:w="1770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lang w:val="sr-Latn-CS"/>
              </w:rPr>
            </w:pPr>
            <w:r w:rsidRPr="003B0319">
              <w:rPr>
                <w:b/>
                <w:color w:val="000000"/>
                <w:lang w:val="sr-Latn-CS"/>
              </w:rPr>
              <w:t>Mesto:</w:t>
            </w:r>
          </w:p>
        </w:tc>
        <w:tc>
          <w:tcPr>
            <w:tcW w:w="7806" w:type="dxa"/>
          </w:tcPr>
          <w:p w:rsidR="008B536E" w:rsidRPr="003B0319" w:rsidRDefault="008B536E">
            <w:pPr>
              <w:spacing w:before="100" w:beforeAutospacing="1" w:after="0" w:line="240" w:lineRule="auto"/>
              <w:ind w:right="45"/>
              <w:jc w:val="both"/>
              <w:rPr>
                <w:color w:val="000000"/>
                <w:lang w:val="sr-Latn-CS"/>
              </w:rPr>
            </w:pPr>
            <w:r w:rsidRPr="003B0319">
              <w:rPr>
                <w:color w:val="000000"/>
                <w:lang w:val="sr-Latn-CS"/>
              </w:rPr>
              <w:t>Beograd, Srbija</w:t>
            </w:r>
          </w:p>
        </w:tc>
      </w:tr>
    </w:tbl>
    <w:p w:rsidR="008B536E" w:rsidRPr="003B0319" w:rsidRDefault="008B536E">
      <w:pPr>
        <w:spacing w:after="0" w:line="240" w:lineRule="auto"/>
        <w:rPr>
          <w:color w:val="000000"/>
          <w:lang w:val="sr-Latn-CS"/>
        </w:rPr>
      </w:pPr>
    </w:p>
    <w:p w:rsidR="008B536E" w:rsidRPr="003B0319" w:rsidRDefault="008B536E">
      <w:pPr>
        <w:spacing w:before="100" w:beforeAutospacing="1" w:after="0" w:line="240" w:lineRule="auto"/>
        <w:ind w:left="720" w:right="45"/>
        <w:jc w:val="right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22. april 2016.</w:t>
      </w:r>
    </w:p>
    <w:p w:rsidR="008B536E" w:rsidRPr="003B0319" w:rsidRDefault="008B536E">
      <w:pPr>
        <w:spacing w:after="0" w:line="240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240" w:lineRule="auto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1"/>
        </w:numPr>
        <w:spacing w:before="100" w:beforeAutospacing="1" w:after="0" w:line="240" w:lineRule="auto"/>
        <w:ind w:right="45"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Rezime</w:t>
      </w:r>
    </w:p>
    <w:p w:rsidR="008B536E" w:rsidRPr="003B0319" w:rsidRDefault="008B536E">
      <w:pPr>
        <w:spacing w:before="100" w:beforeAutospacing="1" w:line="240" w:lineRule="auto"/>
        <w:ind w:left="720" w:right="45"/>
        <w:jc w:val="both"/>
        <w:rPr>
          <w:b/>
          <w:color w:val="000000"/>
          <w:highlight w:val="yellow"/>
          <w:lang w:val="sr-Latn-CS"/>
        </w:rPr>
      </w:pPr>
      <w:r w:rsidRPr="003B0319">
        <w:rPr>
          <w:color w:val="000000"/>
          <w:lang w:val="sr-Latn-CS"/>
        </w:rPr>
        <w:t xml:space="preserve">Angažman je započet kao zadatak </w:t>
      </w:r>
      <w:r w:rsidR="00BE2A87" w:rsidRPr="003B0319">
        <w:rPr>
          <w:color w:val="000000"/>
          <w:lang w:val="sr-Latn-CS"/>
        </w:rPr>
        <w:t>tehničke</w:t>
      </w:r>
      <w:r w:rsidRPr="003B0319">
        <w:rPr>
          <w:color w:val="000000"/>
          <w:lang w:val="sr-Latn-CS"/>
        </w:rPr>
        <w:t xml:space="preserve"> prirode sa ciljem pružanja saveta Ministarstvu pravde u oblasti harmonizacije zakonodavstva koje se odnosi na advokate sa pravnim tekovinama EU (</w:t>
      </w:r>
      <w:r w:rsidRPr="003B0319">
        <w:rPr>
          <w:i/>
          <w:color w:val="000000"/>
          <w:lang w:val="sr-Latn-CS"/>
        </w:rPr>
        <w:t>acquis</w:t>
      </w:r>
      <w:r w:rsidRPr="003B0319">
        <w:rPr>
          <w:color w:val="000000"/>
          <w:lang w:val="sr-Latn-CS"/>
        </w:rPr>
        <w:t xml:space="preserve">), ali se ubrzo javila potreba </w:t>
      </w:r>
      <w:r w:rsidR="00AA41C6">
        <w:rPr>
          <w:color w:val="000000"/>
          <w:lang w:val="sr-Latn-CS"/>
        </w:rPr>
        <w:t>za suočavanjem</w:t>
      </w:r>
      <w:r w:rsidRPr="003B0319">
        <w:rPr>
          <w:color w:val="000000"/>
          <w:lang w:val="sr-Latn-CS"/>
        </w:rPr>
        <w:t xml:space="preserve"> sa određenim političkim tenzijama unutar srpske advokature. Delom i zbog navedenog, tokom angažmana se ukazala potreba za postizanjem dodatnih rezultata, poput informisanja zainteresovanih strana putem seminara o uticaju pravnih tekovina EU na advokaturu, te izrade dokumenta o dobroj praksi koju će Advokatska komora Srbije slediti u budućnosti.</w:t>
      </w:r>
    </w:p>
    <w:p w:rsidR="008B536E" w:rsidRPr="003B0319" w:rsidRDefault="008B536E">
      <w:pPr>
        <w:numPr>
          <w:ilvl w:val="0"/>
          <w:numId w:val="1"/>
        </w:numPr>
        <w:spacing w:before="100" w:beforeAutospacing="1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Uvod</w:t>
      </w:r>
    </w:p>
    <w:p w:rsidR="008B536E" w:rsidRPr="003B0319" w:rsidRDefault="008B536E">
      <w:pPr>
        <w:spacing w:before="100" w:beforeAutospacing="1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spacing w:before="100" w:beforeAutospacing="1" w:line="240" w:lineRule="auto"/>
        <w:ind w:left="720"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Ekspert je angažovan na period od 25 radnih d</w:t>
      </w:r>
      <w:r w:rsidR="004C5CEA">
        <w:rPr>
          <w:color w:val="000000"/>
          <w:lang w:val="sr-Latn-CS"/>
        </w:rPr>
        <w:t>ana radi savetovanja korisnika,</w:t>
      </w:r>
      <w:r w:rsidRPr="003B0319">
        <w:rPr>
          <w:color w:val="000000"/>
          <w:lang w:val="sr-Latn-CS"/>
        </w:rPr>
        <w:t xml:space="preserve"> Ministarstva pravde</w:t>
      </w:r>
      <w:r w:rsidR="004C5CEA">
        <w:rPr>
          <w:color w:val="000000"/>
          <w:lang w:val="sr-Latn-CS"/>
        </w:rPr>
        <w:t>,</w:t>
      </w:r>
      <w:r w:rsidRPr="003B0319">
        <w:rPr>
          <w:color w:val="000000"/>
          <w:lang w:val="sr-Latn-CS"/>
        </w:rPr>
        <w:t xml:space="preserve"> o pitanjima harmonizacije zakonodavstva koje se odnosi na advokate sa pravnim tekovinama EU. Misija je počela sastankom održanim 18. januara 2016. godine u Ministarstvu pravde, </w:t>
      </w:r>
      <w:r w:rsidR="00147E7D">
        <w:rPr>
          <w:color w:val="000000"/>
          <w:lang w:val="sr-Latn-CS"/>
        </w:rPr>
        <w:t>kome</w:t>
      </w:r>
      <w:r w:rsidRPr="003B0319">
        <w:rPr>
          <w:color w:val="000000"/>
          <w:lang w:val="sr-Latn-CS"/>
        </w:rPr>
        <w:t xml:space="preserve"> je prisustvovala i Advokatska komora </w:t>
      </w:r>
      <w:r w:rsidR="00BE2A87" w:rsidRPr="003B0319">
        <w:rPr>
          <w:color w:val="000000"/>
          <w:lang w:val="sr-Latn-CS"/>
        </w:rPr>
        <w:t>Srbije</w:t>
      </w:r>
      <w:r w:rsidR="00CD3285">
        <w:rPr>
          <w:color w:val="000000"/>
          <w:lang w:val="sr-Latn-CS"/>
        </w:rPr>
        <w:t xml:space="preserve"> (AKS)</w:t>
      </w:r>
      <w:r w:rsidRPr="003B0319">
        <w:rPr>
          <w:color w:val="000000"/>
          <w:lang w:val="sr-Latn-CS"/>
        </w:rPr>
        <w:t xml:space="preserve">. Prethodno su se javljale teškoće u odnosima između Ministarstva i Komore, što je dovelo do štrajka advokata na nivou cele države. Budući da su mnogi advokati nezadovoljni promenama koje bi mogle zadesiti advokaturu sa pristupanjem Srbije EU, Ministarstvo se zalagalo da </w:t>
      </w:r>
      <w:r w:rsidR="00CD3285">
        <w:rPr>
          <w:color w:val="000000"/>
          <w:lang w:val="sr-Latn-CS"/>
        </w:rPr>
        <w:t>AKS</w:t>
      </w:r>
      <w:r w:rsidRPr="003B0319">
        <w:rPr>
          <w:color w:val="000000"/>
          <w:lang w:val="sr-Latn-CS"/>
        </w:rPr>
        <w:t>, kao jedna od ključnih zainteresovanih strana, bude r</w:t>
      </w:r>
      <w:r w:rsidR="00BE2A87">
        <w:rPr>
          <w:color w:val="000000"/>
          <w:lang w:val="sr-Latn-CS"/>
        </w:rPr>
        <w:t>edovno obaveštena o procesu harmoni</w:t>
      </w:r>
      <w:r w:rsidRPr="003B0319">
        <w:rPr>
          <w:color w:val="000000"/>
          <w:lang w:val="sr-Latn-CS"/>
        </w:rPr>
        <w:t xml:space="preserve">zacije. </w:t>
      </w:r>
    </w:p>
    <w:p w:rsidR="008B536E" w:rsidRPr="003B0319" w:rsidRDefault="008B536E" w:rsidP="00BE2A87">
      <w:pPr>
        <w:pStyle w:val="ListParagraph"/>
        <w:spacing w:line="240" w:lineRule="auto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Bilo je potrebno analizirati i dati komentare na sledeća četiri dokumenta i eventualno </w:t>
      </w:r>
      <w:r w:rsidR="00BE2A87" w:rsidRPr="003B0319">
        <w:rPr>
          <w:color w:val="000000"/>
          <w:lang w:val="sr-Latn-CS"/>
        </w:rPr>
        <w:t>predložiti</w:t>
      </w:r>
      <w:r w:rsidRPr="003B0319">
        <w:rPr>
          <w:color w:val="000000"/>
          <w:lang w:val="sr-Latn-CS"/>
        </w:rPr>
        <w:t xml:space="preserve"> njihove izmene kako bi se uskladili sa pravnim tekovinama EU: </w:t>
      </w:r>
    </w:p>
    <w:p w:rsidR="008B536E" w:rsidRPr="003B0319" w:rsidRDefault="008B536E">
      <w:pPr>
        <w:pStyle w:val="ListParagraph"/>
        <w:numPr>
          <w:ilvl w:val="0"/>
          <w:numId w:val="3"/>
        </w:numPr>
        <w:spacing w:line="240" w:lineRule="auto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Zakon o advokaturi</w:t>
      </w:r>
    </w:p>
    <w:p w:rsidR="008B536E" w:rsidRPr="003B0319" w:rsidRDefault="008B536E">
      <w:pPr>
        <w:pStyle w:val="ListParagraph"/>
        <w:numPr>
          <w:ilvl w:val="0"/>
          <w:numId w:val="3"/>
        </w:numPr>
        <w:spacing w:line="240" w:lineRule="auto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Statut Advokatske komore Srbije </w:t>
      </w:r>
    </w:p>
    <w:p w:rsidR="008B536E" w:rsidRPr="003B0319" w:rsidRDefault="008B536E">
      <w:pPr>
        <w:pStyle w:val="ListParagraph"/>
        <w:numPr>
          <w:ilvl w:val="0"/>
          <w:numId w:val="3"/>
        </w:numPr>
        <w:spacing w:line="240" w:lineRule="auto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Kodeks profesionalne etike advokata i </w:t>
      </w:r>
    </w:p>
    <w:p w:rsidR="008B536E" w:rsidRPr="003B0319" w:rsidRDefault="008B536E">
      <w:pPr>
        <w:pStyle w:val="ListParagraph"/>
        <w:numPr>
          <w:ilvl w:val="0"/>
          <w:numId w:val="3"/>
        </w:numPr>
        <w:spacing w:line="240" w:lineRule="auto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Zakon o pravosudnom ispitu</w:t>
      </w:r>
      <w:r w:rsidR="00B74436">
        <w:rPr>
          <w:color w:val="000000"/>
          <w:lang w:val="sr-Latn-CS"/>
        </w:rPr>
        <w:t>.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lastRenderedPageBreak/>
        <w:t>Ekspert je imao sledeće projektne zadatke: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12"/>
        </w:numPr>
        <w:spacing w:before="120" w:after="0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Izrada predloga relevantnih odredaba Zakona o advokaturi i predloga relevantnih izmena Statuta AKS; </w:t>
      </w:r>
    </w:p>
    <w:p w:rsidR="008B536E" w:rsidRPr="003B0319" w:rsidRDefault="008B536E">
      <w:pPr>
        <w:spacing w:before="120" w:after="0"/>
        <w:ind w:left="720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12"/>
        </w:numPr>
        <w:spacing w:before="120" w:after="0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Izrada predloga relevantnih odredaba Zakona o pravosudnom ispitu; </w:t>
      </w:r>
    </w:p>
    <w:p w:rsidR="008B536E" w:rsidRPr="003B0319" w:rsidRDefault="008B536E">
      <w:pPr>
        <w:spacing w:before="120" w:after="0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12"/>
        </w:numPr>
        <w:spacing w:before="120" w:after="0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Izrada radne verzije analize i preporuk</w:t>
      </w:r>
      <w:r w:rsidR="00A53FAE">
        <w:rPr>
          <w:color w:val="000000"/>
          <w:lang w:val="sr-Latn-CS"/>
        </w:rPr>
        <w:t>â</w:t>
      </w:r>
      <w:r w:rsidRPr="003B0319">
        <w:rPr>
          <w:color w:val="000000"/>
          <w:lang w:val="sr-Latn-CS"/>
        </w:rPr>
        <w:t xml:space="preserve"> za nezakonodavne mere koje su neophodne za implementaciju konkretnih kriterijuma sadržanih u odredbama predmetnih direktiva;</w:t>
      </w:r>
    </w:p>
    <w:p w:rsidR="008B536E" w:rsidRPr="003B0319" w:rsidRDefault="008B536E">
      <w:pPr>
        <w:spacing w:before="120" w:after="0"/>
        <w:ind w:left="360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spacing w:before="120" w:after="0"/>
        <w:ind w:left="360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Ministarstvo, projekat PLAC i ekspert su se takođe dogovorili da se ulože napori za bolje informisanje srpske advokature o pitanjima koja će na </w:t>
      </w:r>
      <w:r w:rsidR="006507E8">
        <w:rPr>
          <w:color w:val="000000"/>
          <w:lang w:val="sr-Latn-CS"/>
        </w:rPr>
        <w:t>nju</w:t>
      </w:r>
      <w:r w:rsidRPr="003B0319">
        <w:rPr>
          <w:color w:val="000000"/>
          <w:lang w:val="sr-Latn-CS"/>
        </w:rPr>
        <w:t xml:space="preserve"> verovatno uticati po pristupanju Srbije EU, te su u tu svrhu organizovani informativni sastanci i završni seminar (videti dalje u tekstu).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1"/>
        </w:numPr>
        <w:spacing w:before="100" w:beforeAutospacing="1" w:after="0" w:line="240" w:lineRule="auto"/>
        <w:ind w:right="45"/>
        <w:contextualSpacing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Aktivnosti realizovane tokom misije</w:t>
      </w:r>
    </w:p>
    <w:p w:rsidR="008B536E" w:rsidRPr="003B0319" w:rsidRDefault="008B536E">
      <w:pPr>
        <w:spacing w:before="100" w:beforeAutospacing="1" w:after="0" w:line="240" w:lineRule="auto"/>
        <w:ind w:right="45"/>
        <w:contextualSpacing/>
        <w:jc w:val="both"/>
        <w:rPr>
          <w:b/>
          <w:color w:val="000000"/>
          <w:lang w:val="sr-Latn-CS"/>
        </w:rPr>
      </w:pP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Radi obezbeđivanja pomoći u radu i postupanja u skladu sa instrukcijama korisnika (Ministarstva pravde) da se AKS obaveštava o razvoju situacije, ekspert se u svim fazama rada konsultovao sa manjom neformalnom radnom grupom koju su činili: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4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Ivana Ninčić, konsultant u Ministarstvu pravde zadužena za ovaj projekat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4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Svetlana Vekić, generalni sekretar AKS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4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Miloš Kuzman, advokat, ekspert za pravo EU iz AKS.</w:t>
      </w:r>
    </w:p>
    <w:p w:rsidR="008B536E" w:rsidRPr="003B0319" w:rsidRDefault="008B536E">
      <w:p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U cilju obaveštavanja zain</w:t>
      </w:r>
      <w:r w:rsidR="00E04273">
        <w:rPr>
          <w:color w:val="000000"/>
          <w:lang w:val="sr-Latn-CS"/>
        </w:rPr>
        <w:t>t</w:t>
      </w:r>
      <w:r w:rsidRPr="003B0319">
        <w:rPr>
          <w:color w:val="000000"/>
          <w:lang w:val="sr-Latn-CS"/>
        </w:rPr>
        <w:t>eresovanih strana o pitanjima koja će verovatno biti od uticaja na advokaturu po pristupanju EU, ekspert je 11. februara 2016. godine posetio i Advokatsku komoru Vojvodine</w:t>
      </w:r>
      <w:r w:rsidR="00CD3285">
        <w:rPr>
          <w:color w:val="000000"/>
          <w:lang w:val="sr-Latn-CS"/>
        </w:rPr>
        <w:t xml:space="preserve"> </w:t>
      </w:r>
      <w:r w:rsidRPr="003B0319">
        <w:rPr>
          <w:color w:val="000000"/>
          <w:lang w:val="sr-Latn-CS"/>
        </w:rPr>
        <w:t xml:space="preserve">i razgovarao o svom radu sa grupom od oko 60 advokata, te je sa istim ciljem 12. februara održao seminar u AKS. Nakon održanog seminara Advokatskoj komori Vojvodine </w:t>
      </w:r>
      <w:r w:rsidR="0025519E">
        <w:rPr>
          <w:color w:val="000000"/>
          <w:lang w:val="sr-Latn-CS"/>
        </w:rPr>
        <w:t xml:space="preserve">(AKV) </w:t>
      </w:r>
      <w:r w:rsidR="00CD3285" w:rsidRPr="003B0319">
        <w:rPr>
          <w:color w:val="000000"/>
          <w:lang w:val="sr-Latn-CS"/>
        </w:rPr>
        <w:t xml:space="preserve">upućen </w:t>
      </w:r>
      <w:r w:rsidRPr="003B0319">
        <w:rPr>
          <w:color w:val="000000"/>
          <w:lang w:val="sr-Latn-CS"/>
        </w:rPr>
        <w:t>je poziv da pošalje predstavnika u navedenu neformalnu radnu grupu; isti poziv up</w:t>
      </w:r>
      <w:r w:rsidR="00CD3285">
        <w:rPr>
          <w:color w:val="000000"/>
          <w:lang w:val="sr-Latn-CS"/>
        </w:rPr>
        <w:t>ućen</w:t>
      </w:r>
      <w:r w:rsidRPr="003B0319">
        <w:rPr>
          <w:color w:val="000000"/>
          <w:lang w:val="sr-Latn-CS"/>
        </w:rPr>
        <w:t xml:space="preserve"> </w:t>
      </w:r>
      <w:r w:rsidR="00CD3285" w:rsidRPr="003B0319">
        <w:rPr>
          <w:color w:val="000000"/>
          <w:lang w:val="sr-Latn-CS"/>
        </w:rPr>
        <w:t xml:space="preserve">je </w:t>
      </w:r>
      <w:r w:rsidR="00CD3285">
        <w:rPr>
          <w:color w:val="000000"/>
          <w:lang w:val="sr-Latn-CS"/>
        </w:rPr>
        <w:t xml:space="preserve">i </w:t>
      </w:r>
      <w:r w:rsidRPr="003B0319">
        <w:rPr>
          <w:color w:val="000000"/>
          <w:lang w:val="sr-Latn-CS"/>
        </w:rPr>
        <w:t>svim advokatskim komorama u sastavu AKS, ali ova inicijativa nije urodila plodom.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Realizovane su sledeće ključne aktivnosti: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6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inicijalni sastanak sa Ministarstvom pravde i AKS održan je 18. januara 2016. (naveden ranije u tekstu);</w:t>
      </w:r>
    </w:p>
    <w:p w:rsidR="008B536E" w:rsidRPr="003B0319" w:rsidRDefault="008B536E">
      <w:pPr>
        <w:spacing w:before="100" w:beforeAutospacing="1" w:after="0" w:line="240" w:lineRule="auto"/>
        <w:ind w:left="144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6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analizirana su gorenavedena četiri osnovna dokumenta i u njih su dodati komentari i predlozi izmena;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6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11. februara 2016. održan je informativni sastanak sa advokatima iz </w:t>
      </w:r>
      <w:r w:rsidR="0025519E">
        <w:rPr>
          <w:color w:val="000000"/>
          <w:lang w:val="sr-Latn-CS"/>
        </w:rPr>
        <w:t>AKV</w:t>
      </w:r>
      <w:r w:rsidRPr="003B0319">
        <w:rPr>
          <w:color w:val="000000"/>
          <w:lang w:val="sr-Latn-CS"/>
        </w:rPr>
        <w:t xml:space="preserve"> (naveden ranije u tekstu);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6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lastRenderedPageBreak/>
        <w:t>12. februara 2016. održan je informativni sastanak sa AKS (naveden ranije u tekstu);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6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obavljane su česte konsultacije sa navedenom neformalnom radnom grupom, kako putem e</w:t>
      </w:r>
      <w:r w:rsidR="009F4E9A">
        <w:rPr>
          <w:color w:val="000000"/>
          <w:lang w:val="sr-Latn-CS"/>
        </w:rPr>
        <w:t>lektronske pošte</w:t>
      </w:r>
      <w:r w:rsidRPr="003B0319">
        <w:rPr>
          <w:color w:val="000000"/>
          <w:lang w:val="sr-Latn-CS"/>
        </w:rPr>
        <w:t xml:space="preserve"> tako i na pojedinačnim sastancima;</w:t>
      </w:r>
    </w:p>
    <w:p w:rsidR="008B536E" w:rsidRPr="003B0319" w:rsidRDefault="008B536E">
      <w:p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6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održan je završni seminar u AKS u cilju razmatranja problema koji se javljaju i predloženih problema, na kome je učestvovalo 40 advokata;</w:t>
      </w:r>
    </w:p>
    <w:p w:rsidR="008B536E" w:rsidRPr="003B0319" w:rsidRDefault="008B536E">
      <w:pPr>
        <w:spacing w:before="100" w:beforeAutospacing="1" w:after="0" w:line="240" w:lineRule="auto"/>
        <w:ind w:left="1440" w:right="45"/>
        <w:contextualSpacing/>
        <w:jc w:val="both"/>
        <w:rPr>
          <w:color w:val="000000"/>
          <w:lang w:val="sr-Latn-CS"/>
        </w:rPr>
      </w:pPr>
    </w:p>
    <w:p w:rsidR="008B536E" w:rsidRPr="003B0319" w:rsidRDefault="00BE2A87">
      <w:pPr>
        <w:numPr>
          <w:ilvl w:val="0"/>
          <w:numId w:val="6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pripremljen</w:t>
      </w:r>
      <w:r w:rsidR="008B536E" w:rsidRPr="003B0319">
        <w:rPr>
          <w:color w:val="000000"/>
          <w:lang w:val="sr-Latn-CS"/>
        </w:rPr>
        <w:t xml:space="preserve"> je dokument koji sadrži primere najbolje prakse i preporuke za izgradnju kapaciteta AKS u skladu sa evropskim standardima.</w:t>
      </w:r>
    </w:p>
    <w:p w:rsidR="008B536E" w:rsidRPr="003B0319" w:rsidRDefault="008B536E">
      <w:p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1"/>
        </w:numPr>
        <w:spacing w:before="100" w:beforeAutospacing="1" w:after="0" w:line="240" w:lineRule="auto"/>
        <w:ind w:right="45"/>
        <w:contextualSpacing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Opis rezultata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b/>
          <w:color w:val="000000"/>
          <w:lang w:val="sr-Latn-CS"/>
        </w:rPr>
      </w:pP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Rezultati su naznačeni u prethodno opisanim Projektnim zadacima i obuhvatali su sledeće: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5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davanje komentara i odgovarajućih predloga za izmenu sva četiri </w:t>
      </w:r>
      <w:r w:rsidR="00A8201A">
        <w:rPr>
          <w:color w:val="000000"/>
          <w:lang w:val="sr-Latn-CS"/>
        </w:rPr>
        <w:t>prethodno</w:t>
      </w:r>
      <w:r w:rsidRPr="003B0319">
        <w:rPr>
          <w:color w:val="000000"/>
          <w:lang w:val="sr-Latn-CS"/>
        </w:rPr>
        <w:t xml:space="preserve"> nabrojana dokumenta u cilju </w:t>
      </w:r>
      <w:r w:rsidR="00BE2A87" w:rsidRPr="003B0319">
        <w:rPr>
          <w:color w:val="000000"/>
          <w:lang w:val="sr-Latn-CS"/>
        </w:rPr>
        <w:t>njihovog</w:t>
      </w:r>
      <w:r w:rsidRPr="003B0319">
        <w:rPr>
          <w:color w:val="000000"/>
          <w:lang w:val="sr-Latn-CS"/>
        </w:rPr>
        <w:t xml:space="preserve"> usklađivanja sa pravnim tekovinama EU (tri dokumenta ispunjavaju kriterijume </w:t>
      </w:r>
      <w:r w:rsidR="00A8201A">
        <w:rPr>
          <w:color w:val="000000"/>
          <w:lang w:val="sr-Latn-CS"/>
        </w:rPr>
        <w:t xml:space="preserve">iz </w:t>
      </w:r>
      <w:r w:rsidRPr="003B0319">
        <w:rPr>
          <w:color w:val="000000"/>
          <w:lang w:val="sr-Latn-CS"/>
        </w:rPr>
        <w:t>stavke a) i b) Projektnih zadataka, dok četvrti dokument - dodatni nezakonodavni dokument - Kodeks profesionalne etike advokata, potpada pod stavku c) Projektnih zadataka);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5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izrada dokumenta u kome se opisuje dobra praksa koju treba da sledi AKS radi usklađivanja sa evropskim standardima i ciljevima, uključujući komentare</w:t>
      </w:r>
      <w:r w:rsidR="00464F52">
        <w:rPr>
          <w:color w:val="000000"/>
          <w:lang w:val="sr-Latn-CS"/>
        </w:rPr>
        <w:t xml:space="preserve"> o kapacitetima i organizaciji k</w:t>
      </w:r>
      <w:r w:rsidRPr="003B0319">
        <w:rPr>
          <w:color w:val="000000"/>
          <w:lang w:val="sr-Latn-CS"/>
        </w:rPr>
        <w:t>omore (što potpada pod stavku c) Projektnih zadataka);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</w:p>
    <w:p w:rsidR="008B536E" w:rsidRPr="003B0319" w:rsidRDefault="008B536E">
      <w:pPr>
        <w:numPr>
          <w:ilvl w:val="0"/>
          <w:numId w:val="5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održavanje radionice sa srpskim advokatima 19. aprila 2016. godine </w:t>
      </w:r>
      <w:r w:rsidR="0012231C">
        <w:rPr>
          <w:color w:val="000000"/>
          <w:lang w:val="sr-Latn-CS"/>
        </w:rPr>
        <w:t>sa ciljem</w:t>
      </w:r>
      <w:r w:rsidRPr="003B0319">
        <w:rPr>
          <w:color w:val="000000"/>
          <w:lang w:val="sr-Latn-CS"/>
        </w:rPr>
        <w:t xml:space="preserve"> diskutovanja o pitanjima koja su se javila tokom misije i predloženim rešenjima (što izlazi iz okvira Projektnih zadataka i dogovoreno je između Ministarstva, projekta PLAC i eksperta).</w:t>
      </w:r>
    </w:p>
    <w:p w:rsidR="008B536E" w:rsidRPr="003B0319" w:rsidRDefault="008B536E">
      <w:p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</w:p>
    <w:p w:rsidR="008B536E" w:rsidRPr="003B0319" w:rsidRDefault="00EB1B5E">
      <w:pPr>
        <w:numPr>
          <w:ilvl w:val="0"/>
          <w:numId w:val="5"/>
        </w:numPr>
        <w:spacing w:before="100" w:beforeAutospacing="1" w:after="0" w:line="240" w:lineRule="auto"/>
        <w:ind w:right="45"/>
        <w:contextualSpacing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r</w:t>
      </w:r>
      <w:r w:rsidR="008B536E" w:rsidRPr="003B0319">
        <w:rPr>
          <w:color w:val="000000"/>
          <w:lang w:val="sr-Latn-CS"/>
        </w:rPr>
        <w:t xml:space="preserve">ealizovane aktivnosti i rezultati doprinose postizanju sva tri </w:t>
      </w:r>
      <w:r w:rsidR="00126F73">
        <w:rPr>
          <w:color w:val="000000"/>
          <w:lang w:val="sr-Latn-CS"/>
        </w:rPr>
        <w:t>cilja</w:t>
      </w:r>
      <w:r w:rsidR="008B536E" w:rsidRPr="003B0319">
        <w:rPr>
          <w:color w:val="000000"/>
          <w:lang w:val="sr-Latn-CS"/>
        </w:rPr>
        <w:t xml:space="preserve"> projekta PLAC.</w:t>
      </w:r>
    </w:p>
    <w:p w:rsidR="008B536E" w:rsidRPr="003B0319" w:rsidRDefault="008B536E">
      <w:pPr>
        <w:numPr>
          <w:ilvl w:val="0"/>
          <w:numId w:val="1"/>
        </w:numPr>
        <w:spacing w:before="100" w:beforeAutospacing="1" w:after="0" w:line="240" w:lineRule="auto"/>
        <w:ind w:right="45"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Najvažniji nalazi</w:t>
      </w:r>
    </w:p>
    <w:p w:rsidR="008B536E" w:rsidRPr="003B0319" w:rsidRDefault="008B536E">
      <w:pPr>
        <w:spacing w:before="100" w:beforeAutospacing="1" w:after="0" w:line="240" w:lineRule="auto"/>
        <w:ind w:left="720"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Najvažniji nalazi ukazuju na potrebu da se relevantni propisi Srbije i advokatska praksa promene u sledećim bitnim aspektima:</w:t>
      </w:r>
    </w:p>
    <w:p w:rsidR="008B536E" w:rsidRPr="003B0319" w:rsidRDefault="008B536E">
      <w:pPr>
        <w:numPr>
          <w:ilvl w:val="0"/>
          <w:numId w:val="8"/>
        </w:numPr>
        <w:spacing w:before="100" w:beforeAutospacing="1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potrebno je osnovati upisnik za registrovanje advokata iz EU koji dolaze u Srbiju da se u njoj trajno bave advokaturom u skladu sa Direktivom o poslovnom nastanjivanju advokata (98/5/EZ);</w:t>
      </w:r>
    </w:p>
    <w:p w:rsidR="008B536E" w:rsidRPr="003B0319" w:rsidRDefault="008B536E">
      <w:pPr>
        <w:numPr>
          <w:ilvl w:val="0"/>
          <w:numId w:val="8"/>
        </w:numPr>
        <w:spacing w:before="100" w:beforeAutospacing="1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uslovi za ulazak u profesiju i svakodnevno bavljenje advokaturom su za srpske advokate striktniji od uslova koje je dopušteno nametati advokatima iz EU koji se u drugoj državi poslovno nastanjuju po osnovu Direktive 98/5/EZ, što znači da će morati da se uspostavi poseban režim za takve advokate iz EU; stoga bi trebalo razmotriti pitanje da li srpske vlasti i AKS žele da u budućnosti imaju režim koji domaćim advokatima nameće veća ograničenja;</w:t>
      </w:r>
    </w:p>
    <w:p w:rsidR="008B536E" w:rsidRPr="003B0319" w:rsidRDefault="008B536E">
      <w:pPr>
        <w:numPr>
          <w:ilvl w:val="0"/>
          <w:numId w:val="8"/>
        </w:numPr>
        <w:spacing w:before="100" w:beforeAutospacing="1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biće potrebno izmeniti propise koji se tiču advokatske tarife b</w:t>
      </w:r>
      <w:r w:rsidR="00775AF6">
        <w:rPr>
          <w:color w:val="000000"/>
          <w:lang w:val="sr-Latn-CS"/>
        </w:rPr>
        <w:t>udući da će tarifa koju usvaja k</w:t>
      </w:r>
      <w:r w:rsidRPr="003B0319">
        <w:rPr>
          <w:color w:val="000000"/>
          <w:lang w:val="sr-Latn-CS"/>
        </w:rPr>
        <w:t>omora verovatno biti u suprotnosti sa pravom konkurencije EU;</w:t>
      </w:r>
    </w:p>
    <w:p w:rsidR="008B536E" w:rsidRPr="003B0319" w:rsidRDefault="008B536E">
      <w:pPr>
        <w:numPr>
          <w:ilvl w:val="0"/>
          <w:numId w:val="8"/>
        </w:numPr>
        <w:spacing w:before="100" w:beforeAutospacing="1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biće potrebno liberalizovati pravila o reklamiranju kako bi se uskladila sa Direktivom o uslugama (2006/36/EZ) i Direktivom o elektronskoj trgovini (2001/31/EZ);</w:t>
      </w:r>
    </w:p>
    <w:p w:rsidR="008B536E" w:rsidRPr="003B0319" w:rsidRDefault="008B536E">
      <w:pPr>
        <w:numPr>
          <w:ilvl w:val="0"/>
          <w:numId w:val="8"/>
        </w:numPr>
        <w:spacing w:before="100" w:beforeAutospacing="1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pravilo o jednoj kancelariji ne može da se primenjuje na advokate iz EU, niti na srpske advokate koji žele da se poslovno nastane u drugoj državi članici EU; od nadležnih organa će se očekivati da preispitaju primenu ovog pravila u skladu sa Direktivom o uslugama (2006/36/EZ);</w:t>
      </w:r>
    </w:p>
    <w:p w:rsidR="008B536E" w:rsidRPr="003B0319" w:rsidRDefault="008B536E">
      <w:pPr>
        <w:numPr>
          <w:ilvl w:val="0"/>
          <w:numId w:val="8"/>
        </w:numPr>
        <w:spacing w:before="100" w:beforeAutospacing="1" w:after="0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biće potrebno da se nadležni organi opredele ili za test osposobljenosti ili za period prilagođavanja u pogledu advokata iz EU koji žele da steknu stručni naziv koji se koristi u Srbiji, u skladu sa Direktivom o stručnim kvalifikacijama (2005/36/EZ).</w:t>
      </w:r>
    </w:p>
    <w:p w:rsidR="008B536E" w:rsidRPr="003B0319" w:rsidRDefault="008B536E">
      <w:pPr>
        <w:numPr>
          <w:ilvl w:val="0"/>
          <w:numId w:val="1"/>
        </w:numPr>
        <w:spacing w:before="100" w:beforeAutospacing="1" w:after="0" w:line="240" w:lineRule="auto"/>
        <w:ind w:right="45"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Najvažniji rezultati</w:t>
      </w:r>
    </w:p>
    <w:p w:rsidR="008B536E" w:rsidRPr="003B0319" w:rsidRDefault="008B536E">
      <w:pPr>
        <w:pStyle w:val="ListParagraph"/>
        <w:spacing w:after="0"/>
        <w:rPr>
          <w:b/>
          <w:color w:val="000000"/>
          <w:lang w:val="sr-Latn-CS"/>
        </w:rPr>
      </w:pPr>
    </w:p>
    <w:p w:rsidR="008B536E" w:rsidRPr="003B0319" w:rsidRDefault="008B536E">
      <w:pPr>
        <w:pStyle w:val="ListParagraph"/>
        <w:spacing w:after="0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Najvažniji rezultati postignuti tokom misije su:</w:t>
      </w:r>
    </w:p>
    <w:p w:rsidR="008B536E" w:rsidRPr="003B0319" w:rsidRDefault="008B536E">
      <w:pPr>
        <w:pStyle w:val="ListParagraph"/>
        <w:spacing w:after="0"/>
        <w:rPr>
          <w:color w:val="000000"/>
          <w:lang w:val="sr-Latn-CS"/>
        </w:rPr>
      </w:pPr>
    </w:p>
    <w:p w:rsidR="008B536E" w:rsidRPr="003B0319" w:rsidRDefault="008B536E" w:rsidP="00A6481F">
      <w:pPr>
        <w:pStyle w:val="ListParagraph"/>
        <w:numPr>
          <w:ilvl w:val="0"/>
          <w:numId w:val="9"/>
        </w:numPr>
        <w:spacing w:after="0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izrada komentara i predloga izmena za četiri navedena dokumenta </w:t>
      </w:r>
      <w:r w:rsidR="00410DEE">
        <w:rPr>
          <w:color w:val="000000"/>
          <w:lang w:val="sr-Latn-CS"/>
        </w:rPr>
        <w:t xml:space="preserve">radi njihovog usklađivanja </w:t>
      </w:r>
      <w:r w:rsidRPr="003B0319">
        <w:rPr>
          <w:color w:val="000000"/>
          <w:lang w:val="sr-Latn-CS"/>
        </w:rPr>
        <w:t>sa pravnim tekovinama EU;</w:t>
      </w:r>
    </w:p>
    <w:p w:rsidR="008B536E" w:rsidRPr="003B0319" w:rsidRDefault="008B536E">
      <w:pPr>
        <w:pStyle w:val="ListParagraph"/>
        <w:spacing w:after="0"/>
        <w:rPr>
          <w:color w:val="000000"/>
          <w:lang w:val="sr-Latn-CS"/>
        </w:rPr>
      </w:pPr>
    </w:p>
    <w:p w:rsidR="008B536E" w:rsidRPr="003B0319" w:rsidRDefault="008B536E" w:rsidP="00A648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održavanje seminara o navedenim pitanjima sa </w:t>
      </w:r>
      <w:r w:rsidR="00BE2A87" w:rsidRPr="003B0319">
        <w:rPr>
          <w:color w:val="000000"/>
          <w:lang w:val="sr-Latn-CS"/>
        </w:rPr>
        <w:t>srpskim</w:t>
      </w:r>
      <w:r w:rsidRPr="003B0319">
        <w:rPr>
          <w:color w:val="000000"/>
          <w:lang w:val="sr-Latn-CS"/>
        </w:rPr>
        <w:t xml:space="preserve"> advokatima, a naročito završnog seminara 19. aprila 2016. godine</w:t>
      </w:r>
      <w:r w:rsidR="00391F64">
        <w:rPr>
          <w:color w:val="000000"/>
          <w:lang w:val="sr-Latn-CS"/>
        </w:rPr>
        <w:t>,</w:t>
      </w:r>
      <w:r w:rsidRPr="003B0319">
        <w:rPr>
          <w:color w:val="000000"/>
          <w:lang w:val="sr-Latn-CS"/>
        </w:rPr>
        <w:t xml:space="preserve"> kome je prisustvovalo 40 advokata;</w:t>
      </w:r>
    </w:p>
    <w:p w:rsidR="008B536E" w:rsidRPr="003B0319" w:rsidRDefault="008B536E">
      <w:pPr>
        <w:pStyle w:val="ListParagraph"/>
        <w:spacing w:line="240" w:lineRule="auto"/>
        <w:rPr>
          <w:color w:val="000000"/>
          <w:lang w:val="sr-Latn-CS"/>
        </w:rPr>
      </w:pPr>
    </w:p>
    <w:p w:rsidR="008B536E" w:rsidRPr="003B0319" w:rsidRDefault="008B536E" w:rsidP="00A648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izrada dokumenta u kome se opisuje dobra praksa koju treba da sledi AKS radi usklađivanja sa evropskim standardima i ciljevima, uključujući komentare</w:t>
      </w:r>
      <w:r w:rsidR="003B065E">
        <w:rPr>
          <w:color w:val="000000"/>
          <w:lang w:val="sr-Latn-CS"/>
        </w:rPr>
        <w:t xml:space="preserve"> o kapacitetima i organizaciji K</w:t>
      </w:r>
      <w:r w:rsidRPr="003B0319">
        <w:rPr>
          <w:color w:val="000000"/>
          <w:lang w:val="sr-Latn-CS"/>
        </w:rPr>
        <w:t>omore;</w:t>
      </w:r>
    </w:p>
    <w:p w:rsidR="008B536E" w:rsidRPr="003B0319" w:rsidRDefault="008B536E">
      <w:pPr>
        <w:pStyle w:val="ListParagraph"/>
        <w:spacing w:after="0"/>
        <w:rPr>
          <w:color w:val="000000"/>
          <w:lang w:val="sr-Latn-CS"/>
        </w:rPr>
      </w:pPr>
    </w:p>
    <w:p w:rsidR="008B536E" w:rsidRPr="003B0319" w:rsidRDefault="008B536E" w:rsidP="00A6481F">
      <w:pPr>
        <w:pStyle w:val="ListParagraph"/>
        <w:numPr>
          <w:ilvl w:val="0"/>
          <w:numId w:val="9"/>
        </w:numPr>
        <w:spacing w:after="0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pružanje obaveštenja o tome kakav će uticaj imati pravne tekovine EU na advokaturu u Srbiji.</w:t>
      </w:r>
    </w:p>
    <w:p w:rsidR="008B536E" w:rsidRPr="003B0319" w:rsidRDefault="008B536E">
      <w:pPr>
        <w:numPr>
          <w:ilvl w:val="0"/>
          <w:numId w:val="1"/>
        </w:numPr>
        <w:spacing w:before="100" w:beforeAutospacing="1" w:after="0" w:line="240" w:lineRule="auto"/>
        <w:ind w:right="45"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Uočeni izazovi</w:t>
      </w:r>
    </w:p>
    <w:p w:rsidR="008B536E" w:rsidRPr="003B0319" w:rsidRDefault="008B536E">
      <w:pPr>
        <w:spacing w:before="100" w:beforeAutospacing="1" w:after="0" w:line="240" w:lineRule="auto"/>
        <w:ind w:left="720"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Ekspert se susreo sa sledećim izazovima (koje je, koliko je to bilo moguće, uspešno savladavao):</w:t>
      </w:r>
    </w:p>
    <w:p w:rsidR="008B536E" w:rsidRPr="003B0319" w:rsidRDefault="008B536E">
      <w:pPr>
        <w:numPr>
          <w:ilvl w:val="0"/>
          <w:numId w:val="10"/>
        </w:numPr>
        <w:spacing w:before="100" w:beforeAutospacing="1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između vlade i </w:t>
      </w:r>
      <w:r w:rsidR="003B065E">
        <w:rPr>
          <w:color w:val="000000"/>
          <w:lang w:val="sr-Latn-CS"/>
        </w:rPr>
        <w:t>AKS</w:t>
      </w:r>
      <w:r w:rsidRPr="003B0319">
        <w:rPr>
          <w:color w:val="000000"/>
          <w:lang w:val="sr-Latn-CS"/>
        </w:rPr>
        <w:t xml:space="preserve"> postoje dugotrajne tenzije, a povremeno je bilo potrebno isticati da je korisnik ovog projekta vlada, a ne Komora;</w:t>
      </w:r>
    </w:p>
    <w:p w:rsidR="008B536E" w:rsidRPr="003B0319" w:rsidRDefault="008B536E">
      <w:pPr>
        <w:numPr>
          <w:ilvl w:val="0"/>
          <w:numId w:val="10"/>
        </w:numPr>
        <w:spacing w:before="100" w:beforeAutospacing="1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između nacionalne i regionalnih komora postoje nesuglasice u pogledu obima njihovih ovlašćenja, sa kojima je ekspert morao da se izbori;</w:t>
      </w:r>
    </w:p>
    <w:p w:rsidR="008B536E" w:rsidRPr="003B0319" w:rsidRDefault="008B536E">
      <w:pPr>
        <w:numPr>
          <w:ilvl w:val="0"/>
          <w:numId w:val="10"/>
        </w:numPr>
        <w:spacing w:before="100" w:beforeAutospacing="1" w:after="0" w:line="240" w:lineRule="auto"/>
        <w:ind w:right="4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među srpskim advokatima postoji značajna doza skepticizma u pogledu opravdanosti pojedinih pravnih tekovina EU, a naročito po pitanju da li pravne usluge treba tretirati kao svake druge usluge (ili bi ih trebalo izuzeti iz domašaja npr. Direktive o uslugama 2006/36/EZ).</w:t>
      </w:r>
    </w:p>
    <w:p w:rsidR="008B536E" w:rsidRPr="003B0319" w:rsidRDefault="008B536E">
      <w:pPr>
        <w:numPr>
          <w:ilvl w:val="0"/>
          <w:numId w:val="1"/>
        </w:numPr>
        <w:spacing w:before="100" w:beforeAutospacing="1" w:line="240" w:lineRule="auto"/>
        <w:ind w:right="45"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Sugestije za unapređenje budućih aktivnosti</w:t>
      </w:r>
    </w:p>
    <w:p w:rsidR="008B536E" w:rsidRPr="003B0319" w:rsidRDefault="008B536E" w:rsidP="00532890">
      <w:pPr>
        <w:pStyle w:val="ListParagraph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Bolja obaveštenost o uticaju pravnih tekovina EU na advokaturu u Srbiji </w:t>
      </w:r>
      <w:r w:rsidR="00194DA7" w:rsidRPr="003B0319">
        <w:rPr>
          <w:color w:val="000000"/>
          <w:lang w:val="sr-Latn-CS"/>
        </w:rPr>
        <w:t xml:space="preserve">ispostavila </w:t>
      </w:r>
      <w:r w:rsidRPr="003B0319">
        <w:rPr>
          <w:color w:val="000000"/>
          <w:lang w:val="sr-Latn-CS"/>
        </w:rPr>
        <w:t xml:space="preserve">se kao ključni ishod misije, iako nije konkretno navedena u Projektnim zadacima. </w:t>
      </w:r>
      <w:r w:rsidR="00FA2940">
        <w:rPr>
          <w:color w:val="000000"/>
          <w:lang w:val="sr-Latn-CS"/>
        </w:rPr>
        <w:t>K</w:t>
      </w:r>
      <w:r w:rsidR="00FA2940" w:rsidRPr="003B0319">
        <w:rPr>
          <w:color w:val="000000"/>
          <w:lang w:val="sr-Latn-CS"/>
        </w:rPr>
        <w:t xml:space="preserve">ao segment budućih projektnih zadataka za slične inicijative </w:t>
      </w:r>
      <w:r w:rsidR="00FA2940">
        <w:rPr>
          <w:color w:val="000000"/>
          <w:lang w:val="sr-Latn-CS"/>
        </w:rPr>
        <w:t>treba uzeti u obzir p</w:t>
      </w:r>
      <w:r w:rsidRPr="003B0319">
        <w:rPr>
          <w:color w:val="000000"/>
          <w:lang w:val="sr-Latn-CS"/>
        </w:rPr>
        <w:t>laniranje seminara i javnih rasprava sa licima na koja će uticati promene do kojih će doći pristupanjem Srbije EU.</w:t>
      </w:r>
    </w:p>
    <w:p w:rsidR="008B536E" w:rsidRPr="003B0319" w:rsidRDefault="008B536E">
      <w:pPr>
        <w:numPr>
          <w:ilvl w:val="0"/>
          <w:numId w:val="1"/>
        </w:numPr>
        <w:spacing w:before="100" w:beforeAutospacing="1" w:after="0" w:line="240" w:lineRule="auto"/>
        <w:ind w:right="45"/>
        <w:contextualSpacing/>
        <w:jc w:val="both"/>
        <w:rPr>
          <w:b/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Pouke</w:t>
      </w: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b/>
          <w:color w:val="000000"/>
          <w:lang w:val="sr-Latn-CS"/>
        </w:rPr>
      </w:pPr>
    </w:p>
    <w:p w:rsidR="008B536E" w:rsidRPr="003B0319" w:rsidRDefault="008B536E">
      <w:pPr>
        <w:spacing w:before="100" w:beforeAutospacing="1" w:after="0" w:line="240" w:lineRule="auto"/>
        <w:ind w:left="720" w:right="45"/>
        <w:contextualSpacing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 xml:space="preserve">Usled nedavnih događaja i trenutnih odnosa između AKS i komora u njenom sastavu, kao i odnosa između AKS i vlade, u pojedinim momentima ovog angažmana trebalo je izaći na kraj sa rastućim tenzijama. Isto tako, trebalo se suočiti sa negativnim reakcijama mnogih pripadnika </w:t>
      </w:r>
      <w:r w:rsidR="006E4A86">
        <w:rPr>
          <w:color w:val="000000"/>
          <w:lang w:val="sr-Latn-CS"/>
        </w:rPr>
        <w:t>advokatske</w:t>
      </w:r>
      <w:r w:rsidRPr="003B0319">
        <w:rPr>
          <w:color w:val="000000"/>
          <w:lang w:val="sr-Latn-CS"/>
        </w:rPr>
        <w:t xml:space="preserve"> profesije na pojedine aspekte pravnih tekovina EU.</w:t>
      </w:r>
    </w:p>
    <w:p w:rsidR="008B536E" w:rsidRPr="003B0319" w:rsidRDefault="008B536E">
      <w:pPr>
        <w:spacing w:after="0" w:line="240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120"/>
        <w:ind w:left="360"/>
        <w:jc w:val="both"/>
        <w:rPr>
          <w:color w:val="000000"/>
          <w:lang w:val="sr-Latn-CS"/>
        </w:rPr>
      </w:pPr>
      <w:r w:rsidRPr="003B0319">
        <w:rPr>
          <w:b/>
          <w:color w:val="000000"/>
          <w:lang w:val="sr-Latn-CS"/>
        </w:rPr>
        <w:t>Prilozi (ukoliko ih ima)</w:t>
      </w:r>
    </w:p>
    <w:p w:rsidR="008B536E" w:rsidRPr="003B0319" w:rsidRDefault="008B536E">
      <w:pPr>
        <w:tabs>
          <w:tab w:val="left" w:pos="1701"/>
        </w:tabs>
        <w:spacing w:after="120"/>
        <w:ind w:left="1701" w:hanging="127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Prilog I</w:t>
      </w:r>
      <w:r w:rsidRPr="003B0319">
        <w:rPr>
          <w:color w:val="000000"/>
          <w:lang w:val="sr-Latn-CS"/>
        </w:rPr>
        <w:tab/>
        <w:t xml:space="preserve">Predlog relevantnih odredaba Zakona o advokaturi </w:t>
      </w:r>
    </w:p>
    <w:p w:rsidR="008B536E" w:rsidRPr="003B0319" w:rsidRDefault="008B536E">
      <w:pPr>
        <w:tabs>
          <w:tab w:val="left" w:pos="1701"/>
        </w:tabs>
        <w:spacing w:after="120"/>
        <w:ind w:left="1701" w:hanging="127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Prilog II</w:t>
      </w:r>
      <w:r w:rsidRPr="003B0319">
        <w:rPr>
          <w:color w:val="000000"/>
          <w:lang w:val="sr-Latn-CS"/>
        </w:rPr>
        <w:tab/>
        <w:t>Predlog relevantnih izmena Statuta AKS</w:t>
      </w:r>
    </w:p>
    <w:p w:rsidR="008B536E" w:rsidRPr="003B0319" w:rsidRDefault="008B536E">
      <w:pPr>
        <w:tabs>
          <w:tab w:val="left" w:pos="1701"/>
        </w:tabs>
        <w:spacing w:after="120"/>
        <w:ind w:left="1701" w:hanging="127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Prilog III</w:t>
      </w:r>
      <w:r w:rsidRPr="003B0319">
        <w:rPr>
          <w:color w:val="000000"/>
          <w:lang w:val="sr-Latn-CS"/>
        </w:rPr>
        <w:tab/>
        <w:t>Predlog relevantnih odredaba Zakona o pravosudnom ispitu</w:t>
      </w:r>
    </w:p>
    <w:p w:rsidR="008B536E" w:rsidRPr="003B0319" w:rsidRDefault="008B536E">
      <w:pPr>
        <w:tabs>
          <w:tab w:val="left" w:pos="1701"/>
        </w:tabs>
        <w:spacing w:after="120"/>
        <w:ind w:left="1701" w:hanging="1275"/>
        <w:jc w:val="both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Prilog IV</w:t>
      </w:r>
      <w:r w:rsidRPr="003B0319">
        <w:rPr>
          <w:color w:val="000000"/>
          <w:lang w:val="sr-Latn-CS"/>
        </w:rPr>
        <w:tab/>
        <w:t>Radna verzija analize i preporuka za nezakonodavne mere koje su neophodne za implementaciju konkretnih kriterijuma sadržanih u odredbama predmetnih direktiva - Kodeks profesionalne etike advokata</w:t>
      </w:r>
    </w:p>
    <w:p w:rsidR="008B536E" w:rsidRPr="003B0319" w:rsidRDefault="005D43EE">
      <w:pPr>
        <w:tabs>
          <w:tab w:val="left" w:pos="1701"/>
        </w:tabs>
        <w:spacing w:after="120"/>
        <w:ind w:left="1701" w:hanging="1275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Prilog</w:t>
      </w:r>
      <w:r w:rsidR="008B536E" w:rsidRPr="003B0319">
        <w:rPr>
          <w:color w:val="000000"/>
          <w:lang w:val="sr-Latn-CS"/>
        </w:rPr>
        <w:t xml:space="preserve"> V</w:t>
      </w:r>
      <w:r w:rsidR="008B536E" w:rsidRPr="003B0319">
        <w:rPr>
          <w:color w:val="000000"/>
          <w:lang w:val="sr-Latn-CS"/>
        </w:rPr>
        <w:tab/>
        <w:t xml:space="preserve">Radna verzija analize i preporuka za nezakonodavne mere koje su neophodne za implementaciju konkretnih kriterijuma sadržanih u odredbama predmetnih – Dokument o dobroj praksi. </w:t>
      </w: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  <w:r w:rsidRPr="003B0319">
        <w:rPr>
          <w:color w:val="000000"/>
          <w:lang w:val="sr-Latn-CS"/>
        </w:rPr>
        <w:t>Potpis NK eksperta</w:t>
      </w:r>
      <w:r w:rsidRPr="003B0319">
        <w:rPr>
          <w:color w:val="000000"/>
          <w:lang w:val="sr-Latn-CS"/>
        </w:rPr>
        <w:tab/>
      </w:r>
      <w:r w:rsidRPr="003B0319">
        <w:rPr>
          <w:color w:val="000000"/>
          <w:lang w:val="sr-Latn-CS"/>
        </w:rPr>
        <w:tab/>
      </w:r>
      <w:r w:rsidRPr="003B0319">
        <w:rPr>
          <w:i/>
          <w:color w:val="000000"/>
          <w:lang w:val="sr-Latn-CS"/>
        </w:rPr>
        <w:t>potpis/datum</w:t>
      </w:r>
      <w:r w:rsidRPr="003B0319">
        <w:rPr>
          <w:color w:val="000000"/>
          <w:lang w:val="sr-Latn-CS"/>
        </w:rPr>
        <w:t>:  ___________________________________</w:t>
      </w: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192" w:lineRule="auto"/>
        <w:rPr>
          <w:color w:val="000000"/>
          <w:lang w:val="sr-Latn-CS"/>
        </w:rPr>
      </w:pPr>
    </w:p>
    <w:p w:rsidR="008B536E" w:rsidRPr="003B0319" w:rsidRDefault="008B536E">
      <w:pPr>
        <w:spacing w:after="0" w:line="240" w:lineRule="auto"/>
        <w:rPr>
          <w:b/>
          <w:color w:val="000000"/>
          <w:lang w:val="sr-Latn-CS"/>
        </w:rPr>
      </w:pPr>
      <w:r w:rsidRPr="003B0319">
        <w:rPr>
          <w:color w:val="000000"/>
          <w:lang w:val="sr-Latn-CS"/>
        </w:rPr>
        <w:t>Odobrava vođa tima</w:t>
      </w:r>
      <w:r w:rsidRPr="003B0319">
        <w:rPr>
          <w:color w:val="000000"/>
          <w:lang w:val="sr-Latn-CS"/>
        </w:rPr>
        <w:tab/>
      </w:r>
      <w:r w:rsidR="00300CC4">
        <w:rPr>
          <w:color w:val="000000"/>
          <w:lang w:val="sr-Latn-CS"/>
        </w:rPr>
        <w:tab/>
      </w:r>
      <w:r w:rsidRPr="003B0319">
        <w:rPr>
          <w:i/>
          <w:color w:val="000000"/>
          <w:lang w:val="sr-Latn-CS"/>
        </w:rPr>
        <w:t>potpis/datum</w:t>
      </w:r>
      <w:r w:rsidRPr="003B0319">
        <w:rPr>
          <w:color w:val="000000"/>
          <w:lang w:val="sr-Latn-CS"/>
        </w:rPr>
        <w:t>:  ____________________________________</w:t>
      </w:r>
    </w:p>
    <w:sectPr w:rsidR="008B536E" w:rsidRPr="003B0319" w:rsidSect="005361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5" w:rsidRDefault="00052205">
      <w:pPr>
        <w:spacing w:after="0" w:line="240" w:lineRule="auto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:rsidR="00052205" w:rsidRDefault="00052205">
      <w:pPr>
        <w:spacing w:after="0" w:line="240" w:lineRule="auto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9" w:type="dxa"/>
      <w:tblInd w:w="-176" w:type="dxa"/>
      <w:tblLayout w:type="fixed"/>
      <w:tblLook w:val="0000" w:firstRow="0" w:lastRow="0" w:firstColumn="0" w:lastColumn="0" w:noHBand="0" w:noVBand="0"/>
    </w:tblPr>
    <w:tblGrid>
      <w:gridCol w:w="3260"/>
      <w:gridCol w:w="1916"/>
      <w:gridCol w:w="4600"/>
      <w:gridCol w:w="3833"/>
    </w:tblGrid>
    <w:tr w:rsidR="008B536E" w:rsidRPr="00EE5BD2">
      <w:trPr>
        <w:trHeight w:val="959"/>
      </w:trPr>
      <w:tc>
        <w:tcPr>
          <w:tcW w:w="3260" w:type="dxa"/>
          <w:vAlign w:val="center"/>
        </w:tcPr>
        <w:p w:rsidR="008B536E" w:rsidRPr="00EE5BD2" w:rsidRDefault="008B536E">
          <w:pPr>
            <w:spacing w:after="0" w:line="240" w:lineRule="auto"/>
            <w:rPr>
              <w:sz w:val="17"/>
              <w:szCs w:val="17"/>
              <w:lang w:val="sr-Latn-CS"/>
            </w:rPr>
          </w:pPr>
          <w:r w:rsidRPr="00EE5BD2">
            <w:rPr>
              <w:sz w:val="17"/>
              <w:szCs w:val="17"/>
              <w:lang w:val="sr-Latn-CS"/>
            </w:rPr>
            <w:t>Projekat sprovodi</w:t>
          </w:r>
        </w:p>
        <w:p w:rsidR="008B536E" w:rsidRPr="00EE5BD2" w:rsidRDefault="008B536E">
          <w:pPr>
            <w:spacing w:before="60" w:after="0" w:line="240" w:lineRule="auto"/>
            <w:rPr>
              <w:i/>
              <w:lang w:val="sr-Latn-CS"/>
            </w:rPr>
          </w:pPr>
          <w:r w:rsidRPr="00EE5BD2">
            <w:rPr>
              <w:sz w:val="17"/>
              <w:szCs w:val="17"/>
              <w:lang w:val="sr-Latn-CS"/>
            </w:rPr>
            <w:t>Project implemented by</w:t>
          </w:r>
        </w:p>
      </w:tc>
      <w:tc>
        <w:tcPr>
          <w:tcW w:w="1916" w:type="dxa"/>
          <w:vAlign w:val="center"/>
        </w:tcPr>
        <w:p w:rsidR="008B536E" w:rsidRPr="00EE5BD2" w:rsidRDefault="00E25474">
          <w:pPr>
            <w:spacing w:after="0" w:line="240" w:lineRule="auto"/>
            <w:jc w:val="center"/>
            <w:rPr>
              <w:i/>
              <w:lang w:val="sr-Latn-CS"/>
            </w:rPr>
          </w:pPr>
          <w:r w:rsidRPr="00EE5BD2">
            <w:rPr>
              <w:i/>
              <w:noProof/>
            </w:rPr>
            <w:drawing>
              <wp:inline distT="0" distB="0" distL="0" distR="0">
                <wp:extent cx="519430" cy="234315"/>
                <wp:effectExtent l="1905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vAlign w:val="center"/>
        </w:tcPr>
        <w:p w:rsidR="008B536E" w:rsidRPr="00EE5BD2" w:rsidRDefault="00E25474">
          <w:pPr>
            <w:spacing w:after="0" w:line="240" w:lineRule="auto"/>
            <w:jc w:val="center"/>
            <w:rPr>
              <w:i/>
              <w:lang w:val="sr-Latn-CS"/>
            </w:rPr>
          </w:pPr>
          <w:r w:rsidRPr="00EE5BD2">
            <w:rPr>
              <w:noProof/>
            </w:rPr>
            <w:drawing>
              <wp:inline distT="0" distB="0" distL="0" distR="0">
                <wp:extent cx="1207135" cy="278130"/>
                <wp:effectExtent l="19050" t="0" r="0" b="0"/>
                <wp:docPr id="3" name="Picture 4" descr="Consortium PL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nsortium P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563" t="57213" r="36153" b="25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E5BD2">
            <w:rPr>
              <w:rFonts w:cs="HelveticaNeueLTStd-LtIt"/>
              <w:noProof/>
              <w:color w:val="000000"/>
              <w:sz w:val="17"/>
              <w:szCs w:val="17"/>
            </w:rPr>
            <w:drawing>
              <wp:inline distT="0" distB="0" distL="0" distR="0">
                <wp:extent cx="658495" cy="205105"/>
                <wp:effectExtent l="19050" t="0" r="8255" b="0"/>
                <wp:docPr id="4" name="Picture 3" descr="ECG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CG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Align w:val="center"/>
        </w:tcPr>
        <w:p w:rsidR="008B536E" w:rsidRPr="00EE5BD2" w:rsidRDefault="008B536E">
          <w:pPr>
            <w:spacing w:before="60" w:after="0" w:line="240" w:lineRule="auto"/>
            <w:jc w:val="right"/>
            <w:rPr>
              <w:sz w:val="17"/>
              <w:szCs w:val="17"/>
              <w:lang w:val="sr-Latn-CS"/>
            </w:rPr>
          </w:pPr>
          <w:r w:rsidRPr="00EE5BD2">
            <w:rPr>
              <w:sz w:val="17"/>
              <w:szCs w:val="17"/>
              <w:lang w:val="sr-Latn-CS"/>
            </w:rPr>
            <w:t xml:space="preserve">EuropeAid/131430/C/SER/RS </w:t>
          </w:r>
        </w:p>
        <w:p w:rsidR="008B536E" w:rsidRPr="00EE5BD2" w:rsidRDefault="008B536E">
          <w:pPr>
            <w:spacing w:before="60" w:after="0" w:line="240" w:lineRule="auto"/>
            <w:jc w:val="right"/>
            <w:rPr>
              <w:sz w:val="17"/>
              <w:szCs w:val="17"/>
              <w:lang w:val="sr-Latn-CS"/>
            </w:rPr>
          </w:pPr>
          <w:r w:rsidRPr="00EE5BD2">
            <w:rPr>
              <w:sz w:val="17"/>
              <w:szCs w:val="17"/>
              <w:lang w:val="sr-Latn-CS"/>
            </w:rPr>
            <w:t xml:space="preserve">Broj ugovora o pružanju usluga: 2013/321-910 </w:t>
          </w:r>
        </w:p>
      </w:tc>
    </w:tr>
  </w:tbl>
  <w:p w:rsidR="008B536E" w:rsidRPr="00EE5BD2" w:rsidRDefault="008B536E">
    <w:pPr>
      <w:pStyle w:val="Footer"/>
      <w:jc w:val="center"/>
      <w:rPr>
        <w:rFonts w:ascii="Times New Roman"/>
        <w:lang w:val="sr-Latn-CS"/>
      </w:rPr>
    </w:pPr>
    <w:r w:rsidRPr="00EE5BD2">
      <w:rPr>
        <w:sz w:val="18"/>
        <w:szCs w:val="18"/>
        <w:lang w:val="sr-Latn-CS"/>
      </w:rPr>
      <w:t xml:space="preserve">Za sadržaj ove publikacije isključivo je odgovorna kompanija </w:t>
    </w:r>
    <w:r w:rsidRPr="00EE5BD2">
      <w:rPr>
        <w:smallCaps/>
        <w:sz w:val="18"/>
        <w:szCs w:val="18"/>
        <w:lang w:val="sr-Latn-CS"/>
      </w:rPr>
      <w:t>DMI ASSOCIATES</w:t>
    </w:r>
    <w:r w:rsidRPr="00EE5BD2">
      <w:rPr>
        <w:sz w:val="18"/>
        <w:szCs w:val="18"/>
        <w:lang w:val="sr-Latn-CS"/>
      </w:rPr>
      <w:t xml:space="preserve"> i partneri u konzorcijumu, te se ne može smatrati da se u njoj nužno odražavaju stavovi Evropske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5" w:rsidRDefault="00052205">
      <w:pPr>
        <w:spacing w:after="0" w:line="240" w:lineRule="auto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:rsidR="00052205" w:rsidRDefault="00052205">
      <w:pPr>
        <w:spacing w:after="0" w:line="240" w:lineRule="auto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4" w:type="dxa"/>
      <w:tblInd w:w="-342" w:type="dxa"/>
      <w:tblLayout w:type="fixed"/>
      <w:tblLook w:val="0000" w:firstRow="0" w:lastRow="0" w:firstColumn="0" w:lastColumn="0" w:noHBand="0" w:noVBand="0"/>
    </w:tblPr>
    <w:tblGrid>
      <w:gridCol w:w="3080"/>
      <w:gridCol w:w="2660"/>
      <w:gridCol w:w="3077"/>
      <w:gridCol w:w="1117"/>
    </w:tblGrid>
    <w:tr w:rsidR="008B536E">
      <w:trPr>
        <w:trHeight w:val="1024"/>
      </w:trPr>
      <w:tc>
        <w:tcPr>
          <w:tcW w:w="3080" w:type="dxa"/>
        </w:tcPr>
        <w:p w:rsidR="008B536E" w:rsidRDefault="00E25474">
          <w:pPr>
            <w:spacing w:after="0" w:line="240" w:lineRule="auto"/>
            <w:ind w:right="177"/>
            <w:rPr>
              <w:sz w:val="18"/>
              <w:szCs w:val="18"/>
              <w:lang w:val="en-GB"/>
            </w:rPr>
          </w:pPr>
          <w:r>
            <w:rPr>
              <w:i/>
              <w:noProof/>
            </w:rPr>
            <w:drawing>
              <wp:inline distT="0" distB="0" distL="0" distR="0">
                <wp:extent cx="1426210" cy="446405"/>
                <wp:effectExtent l="19050" t="0" r="2540" b="0"/>
                <wp:docPr id="1" name="Picture 2" descr="plac logo 2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c logo 2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</w:tcPr>
        <w:p w:rsidR="008B536E" w:rsidRDefault="008B536E">
          <w:pPr>
            <w:spacing w:after="0" w:line="240" w:lineRule="auto"/>
            <w:rPr>
              <w:i/>
              <w:sz w:val="2"/>
              <w:szCs w:val="2"/>
              <w:lang w:val="en-GB"/>
            </w:rPr>
          </w:pPr>
        </w:p>
      </w:tc>
      <w:tc>
        <w:tcPr>
          <w:tcW w:w="3077" w:type="dxa"/>
        </w:tcPr>
        <w:p w:rsidR="008B536E" w:rsidRDefault="008B536E">
          <w:pPr>
            <w:spacing w:after="40" w:line="240" w:lineRule="auto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Project funded by the European Union</w:t>
          </w:r>
        </w:p>
        <w:p w:rsidR="008B536E" w:rsidRDefault="008B536E">
          <w:pPr>
            <w:spacing w:after="40" w:line="240" w:lineRule="auto"/>
            <w:rPr>
              <w:sz w:val="18"/>
              <w:szCs w:val="18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                Projekat finansira Evropska unija</w:t>
          </w:r>
        </w:p>
      </w:tc>
      <w:tc>
        <w:tcPr>
          <w:tcW w:w="1117" w:type="dxa"/>
        </w:tcPr>
        <w:p w:rsidR="008B536E" w:rsidRDefault="00E25474">
          <w:pPr>
            <w:spacing w:after="40" w:line="240" w:lineRule="auto"/>
            <w:rPr>
              <w:i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582930" cy="365760"/>
                <wp:effectExtent l="19050" t="0" r="7620" b="0"/>
                <wp:wrapSquare wrapText="bothSides"/>
                <wp:docPr id="5" name="Picture 1" descr="EUUN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UN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B536E" w:rsidRDefault="008B536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A31"/>
    <w:multiLevelType w:val="hybridMultilevel"/>
    <w:tmpl w:val="6A76BB3A"/>
    <w:lvl w:ilvl="0" w:tplc="0813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DC472B6"/>
    <w:multiLevelType w:val="hybridMultilevel"/>
    <w:tmpl w:val="FA2CFA5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210"/>
    <w:multiLevelType w:val="hybridMultilevel"/>
    <w:tmpl w:val="BD7EFB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70F"/>
    <w:multiLevelType w:val="hybridMultilevel"/>
    <w:tmpl w:val="D9F4F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0401C"/>
    <w:multiLevelType w:val="hybridMultilevel"/>
    <w:tmpl w:val="F0A45776"/>
    <w:lvl w:ilvl="0" w:tplc="04090011"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321303"/>
    <w:multiLevelType w:val="hybridMultilevel"/>
    <w:tmpl w:val="2E4226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8D1120"/>
    <w:multiLevelType w:val="hybridMultilevel"/>
    <w:tmpl w:val="72C20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82C91"/>
    <w:multiLevelType w:val="hybridMultilevel"/>
    <w:tmpl w:val="D2D83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37868"/>
    <w:multiLevelType w:val="hybridMultilevel"/>
    <w:tmpl w:val="C2749064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C560B"/>
    <w:multiLevelType w:val="hybridMultilevel"/>
    <w:tmpl w:val="35FA1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9513FD"/>
    <w:multiLevelType w:val="hybridMultilevel"/>
    <w:tmpl w:val="00DC63C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6D363E"/>
    <w:multiLevelType w:val="hybridMultilevel"/>
    <w:tmpl w:val="62CA739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64"/>
    <w:rsid w:val="00001817"/>
    <w:rsid w:val="00052205"/>
    <w:rsid w:val="00083639"/>
    <w:rsid w:val="00093BC6"/>
    <w:rsid w:val="000E0168"/>
    <w:rsid w:val="0012231C"/>
    <w:rsid w:val="00126F73"/>
    <w:rsid w:val="00147E7D"/>
    <w:rsid w:val="00186617"/>
    <w:rsid w:val="00194DA7"/>
    <w:rsid w:val="001A78BA"/>
    <w:rsid w:val="0025519E"/>
    <w:rsid w:val="00283D73"/>
    <w:rsid w:val="00300CC4"/>
    <w:rsid w:val="00391F64"/>
    <w:rsid w:val="003B0319"/>
    <w:rsid w:val="003B065E"/>
    <w:rsid w:val="00410DEE"/>
    <w:rsid w:val="00422053"/>
    <w:rsid w:val="0042487F"/>
    <w:rsid w:val="00431251"/>
    <w:rsid w:val="00464F52"/>
    <w:rsid w:val="004C5CEA"/>
    <w:rsid w:val="00532890"/>
    <w:rsid w:val="005361F1"/>
    <w:rsid w:val="005836EE"/>
    <w:rsid w:val="00591B65"/>
    <w:rsid w:val="005B5DD2"/>
    <w:rsid w:val="005D30A9"/>
    <w:rsid w:val="005D43EE"/>
    <w:rsid w:val="005F546D"/>
    <w:rsid w:val="006507E8"/>
    <w:rsid w:val="006B343B"/>
    <w:rsid w:val="006B79D7"/>
    <w:rsid w:val="006E4A86"/>
    <w:rsid w:val="00715232"/>
    <w:rsid w:val="00775AF6"/>
    <w:rsid w:val="0078079F"/>
    <w:rsid w:val="007C4456"/>
    <w:rsid w:val="007D0734"/>
    <w:rsid w:val="00803112"/>
    <w:rsid w:val="00811754"/>
    <w:rsid w:val="0084000B"/>
    <w:rsid w:val="00891B19"/>
    <w:rsid w:val="008A21AE"/>
    <w:rsid w:val="008B536E"/>
    <w:rsid w:val="008D79A6"/>
    <w:rsid w:val="00911135"/>
    <w:rsid w:val="00935C2F"/>
    <w:rsid w:val="00940452"/>
    <w:rsid w:val="00986EBF"/>
    <w:rsid w:val="009A2164"/>
    <w:rsid w:val="009E16F6"/>
    <w:rsid w:val="009E4851"/>
    <w:rsid w:val="009F4E9A"/>
    <w:rsid w:val="00A06A19"/>
    <w:rsid w:val="00A16E29"/>
    <w:rsid w:val="00A217F6"/>
    <w:rsid w:val="00A53FAE"/>
    <w:rsid w:val="00A6481F"/>
    <w:rsid w:val="00A8201A"/>
    <w:rsid w:val="00AA41C6"/>
    <w:rsid w:val="00B74436"/>
    <w:rsid w:val="00B76F42"/>
    <w:rsid w:val="00BD64CF"/>
    <w:rsid w:val="00BE2A87"/>
    <w:rsid w:val="00C40C18"/>
    <w:rsid w:val="00C81488"/>
    <w:rsid w:val="00C94E84"/>
    <w:rsid w:val="00CA2B2C"/>
    <w:rsid w:val="00CD3285"/>
    <w:rsid w:val="00E04273"/>
    <w:rsid w:val="00E25474"/>
    <w:rsid w:val="00E27A98"/>
    <w:rsid w:val="00E63F7D"/>
    <w:rsid w:val="00EB1B5E"/>
    <w:rsid w:val="00EE5BD2"/>
    <w:rsid w:val="00F201E6"/>
    <w:rsid w:val="00FA2940"/>
    <w:rsid w:val="00FA2E16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45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61F1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7C445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61F1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56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1F1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E12F94"/>
    <w:pPr>
      <w:ind w:left="720"/>
    </w:pPr>
  </w:style>
  <w:style w:type="character" w:customStyle="1" w:styleId="tw4winMark">
    <w:name w:val="tw4winMark"/>
    <w:uiPriority w:val="99"/>
    <w:rsid w:val="005361F1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45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61F1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7C445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61F1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56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1F1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E12F94"/>
    <w:pPr>
      <w:ind w:left="720"/>
    </w:pPr>
  </w:style>
  <w:style w:type="character" w:customStyle="1" w:styleId="tw4winMark">
    <w:name w:val="tw4winMark"/>
    <w:uiPriority w:val="99"/>
    <w:rsid w:val="005361F1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MISSION REPORT FOR NON KEY EXPERT</vt:lpstr>
    </vt:vector>
  </TitlesOfParts>
  <Company>HP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MISSION REPORT FOR NON KEY EXPERT</dc:title>
  <dc:creator>m</dc:creator>
  <cp:lastModifiedBy>Svetlana SV. Vekic</cp:lastModifiedBy>
  <cp:revision>2</cp:revision>
  <dcterms:created xsi:type="dcterms:W3CDTF">2016-05-04T06:34:00Z</dcterms:created>
  <dcterms:modified xsi:type="dcterms:W3CDTF">2016-05-04T06:34:00Z</dcterms:modified>
</cp:coreProperties>
</file>