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356310" w:rsidRDefault="0055072C" w:rsidP="0055072C">
      <w:pPr>
        <w:rPr>
          <w:rFonts w:ascii="Cambria" w:hAnsi="Cambria" w:cs="Times New Roman"/>
          <w:sz w:val="20"/>
          <w:szCs w:val="20"/>
        </w:rPr>
      </w:pPr>
      <w:r w:rsidRPr="00D54EFB">
        <w:rPr>
          <w:rFonts w:ascii="Cambria" w:hAnsi="Cambria" w:cs="Times New Roman"/>
          <w:sz w:val="20"/>
          <w:szCs w:val="20"/>
        </w:rPr>
        <w:t xml:space="preserve">број: </w:t>
      </w:r>
      <w:r>
        <w:rPr>
          <w:rFonts w:ascii="Cambria" w:hAnsi="Cambria" w:cs="Times New Roman"/>
          <w:sz w:val="20"/>
          <w:szCs w:val="20"/>
        </w:rPr>
        <w:t>639/2018</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Pr>
          <w:rFonts w:ascii="Cambria" w:hAnsi="Cambria" w:cs="Times New Roman"/>
          <w:sz w:val="20"/>
          <w:szCs w:val="20"/>
        </w:rPr>
        <w:t>08.09.2018.</w:t>
      </w:r>
    </w:p>
    <w:p w:rsidR="00946360" w:rsidRDefault="00C8415B">
      <w:pPr>
        <w:rPr>
          <w:lang w:val="sr-Latn-RS"/>
        </w:rPr>
      </w:pP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ОДРЖАНЕ 08.09.2018.</w:t>
      </w:r>
    </w:p>
    <w:p w:rsidR="0055072C" w:rsidRDefault="0055072C" w:rsidP="0055072C">
      <w:pPr>
        <w:jc w:val="center"/>
        <w:rPr>
          <w:rFonts w:asciiTheme="majorHAnsi" w:hAnsiTheme="majorHAnsi"/>
          <w:lang w:val="sr-Cyrl-RS"/>
        </w:rPr>
      </w:pPr>
    </w:p>
    <w:p w:rsidR="00BB548B" w:rsidRDefault="00BB548B"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r w:rsidRPr="00D46EFF">
        <w:rPr>
          <w:rFonts w:asciiTheme="majorHAnsi" w:hAnsiTheme="majorHAnsi"/>
          <w:lang w:val="sr-Cyrl-RS"/>
        </w:rPr>
        <w:t xml:space="preserve">Управни одбор АКС је на 28. Редовној седници: </w:t>
      </w:r>
    </w:p>
    <w:p w:rsidR="00D46EFF" w:rsidRPr="00D46EFF" w:rsidRDefault="00D46EFF" w:rsidP="00D46EFF">
      <w:pPr>
        <w:jc w:val="both"/>
        <w:rPr>
          <w:rFonts w:asciiTheme="majorHAnsi" w:hAnsiTheme="majorHAnsi"/>
          <w:lang w:val="sr-Cyrl-RS"/>
        </w:rPr>
      </w:pPr>
    </w:p>
    <w:p w:rsidR="0055072C" w:rsidRDefault="00D46EFF" w:rsidP="00D46EFF">
      <w:pPr>
        <w:pStyle w:val="ListParagraph"/>
        <w:numPr>
          <w:ilvl w:val="0"/>
          <w:numId w:val="1"/>
        </w:numPr>
        <w:jc w:val="both"/>
        <w:rPr>
          <w:rFonts w:asciiTheme="majorHAnsi" w:hAnsiTheme="majorHAnsi"/>
          <w:lang w:val="sr-Cyrl-RS"/>
        </w:rPr>
      </w:pPr>
      <w:r>
        <w:rPr>
          <w:rFonts w:asciiTheme="majorHAnsi" w:hAnsiTheme="majorHAnsi"/>
          <w:lang w:val="sr-Cyrl-RS"/>
        </w:rPr>
        <w:t>прихватио извештај председника АКС о протесту адвоката Србије који је организован поводом убиства адвоката Драгослава Мише Огњановића и о формирању Сталног тела за унапређење кривично-правне заштите адвоката</w:t>
      </w:r>
      <w:r w:rsidR="00BB548B">
        <w:rPr>
          <w:rFonts w:asciiTheme="majorHAnsi" w:hAnsiTheme="majorHAnsi"/>
          <w:lang w:val="sr-Cyrl-RS"/>
        </w:rPr>
        <w:t>;</w:t>
      </w:r>
    </w:p>
    <w:p w:rsidR="00D46EFF" w:rsidRDefault="00D46EFF"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одлуке по жалбама које су изјављене против решења/одлука управних одбора адвокатских комора у саставу АКС у 8 предмета</w:t>
      </w:r>
    </w:p>
    <w:p w:rsidR="00D46EFF" w:rsidRDefault="00D46EFF" w:rsidP="00D46EFF">
      <w:pPr>
        <w:pStyle w:val="ListParagraph"/>
        <w:numPr>
          <w:ilvl w:val="0"/>
          <w:numId w:val="1"/>
        </w:numPr>
        <w:jc w:val="both"/>
        <w:rPr>
          <w:rFonts w:asciiTheme="majorHAnsi" w:hAnsiTheme="majorHAnsi"/>
          <w:lang w:val="sr-Cyrl-RS"/>
        </w:rPr>
      </w:pPr>
      <w:r>
        <w:rPr>
          <w:rFonts w:asciiTheme="majorHAnsi" w:hAnsiTheme="majorHAnsi"/>
          <w:lang w:val="sr-Cyrl-RS"/>
        </w:rPr>
        <w:t>усвојио Правилник о начину вођења Регистра медијатора Центра за медијацију АКС</w:t>
      </w:r>
      <w:r w:rsidR="00BB548B">
        <w:rPr>
          <w:rFonts w:asciiTheme="majorHAnsi" w:hAnsiTheme="majorHAnsi"/>
          <w:lang w:val="sr-Cyrl-RS"/>
        </w:rPr>
        <w:t>;</w:t>
      </w:r>
    </w:p>
    <w:p w:rsidR="00D46EFF" w:rsidRDefault="00D46EFF"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Аутентично тумачење</w:t>
      </w:r>
      <w:r w:rsidR="00C8415B">
        <w:rPr>
          <w:rFonts w:asciiTheme="majorHAnsi" w:hAnsiTheme="majorHAnsi"/>
          <w:lang w:val="sr-Cyrl-RS"/>
        </w:rPr>
        <w:t xml:space="preserve"> Статута АКС</w:t>
      </w:r>
      <w:bookmarkStart w:id="0" w:name="_GoBack"/>
      <w:bookmarkEnd w:id="0"/>
      <w:r>
        <w:rPr>
          <w:rFonts w:asciiTheme="majorHAnsi" w:hAnsiTheme="majorHAnsi"/>
          <w:lang w:val="sr-Cyrl-RS"/>
        </w:rPr>
        <w:t xml:space="preserve"> на захтев Адвокатске коморе Пожаревца, а поводом одређивања стварне и месн</w:t>
      </w:r>
      <w:r w:rsidR="00BB548B">
        <w:rPr>
          <w:rFonts w:asciiTheme="majorHAnsi" w:hAnsiTheme="majorHAnsi"/>
          <w:lang w:val="sr-Cyrl-RS"/>
        </w:rPr>
        <w:t>е надлежности адвокатск</w:t>
      </w:r>
      <w:r>
        <w:rPr>
          <w:rFonts w:asciiTheme="majorHAnsi" w:hAnsiTheme="majorHAnsi"/>
          <w:lang w:val="sr-Cyrl-RS"/>
        </w:rPr>
        <w:t>их комора Војводине и Пожаревца</w:t>
      </w:r>
      <w:r w:rsidR="00BB548B">
        <w:rPr>
          <w:rFonts w:asciiTheme="majorHAnsi" w:hAnsiTheme="majorHAnsi"/>
          <w:lang w:val="sr-Cyrl-RS"/>
        </w:rPr>
        <w:t xml:space="preserve"> за достављање листа бранилаца по службеној дужности за територију Вишег суда у Смедереву који је надлежан за подручје Основног суда у Смедереву са судском јединицом у Ковину. Поводом овог питања донет је и закључак о упућивању иницијативе Министарству правде за измену Закона о седиштима и подручјима судова и јавних тужилаштава;</w:t>
      </w:r>
    </w:p>
    <w:p w:rsidR="00BB548B" w:rsidRDefault="00BB548B"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Прихватио извештај о раду Адвокатске академије АКС о активностима те академије до 31.12.2018. </w:t>
      </w:r>
    </w:p>
    <w:p w:rsidR="00BB548B" w:rsidRDefault="00BB548B" w:rsidP="00D46EFF">
      <w:pPr>
        <w:pStyle w:val="ListParagraph"/>
        <w:numPr>
          <w:ilvl w:val="0"/>
          <w:numId w:val="1"/>
        </w:numPr>
        <w:jc w:val="both"/>
        <w:rPr>
          <w:rFonts w:asciiTheme="majorHAnsi" w:hAnsiTheme="majorHAnsi"/>
          <w:lang w:val="sr-Cyrl-RS"/>
        </w:rPr>
      </w:pPr>
      <w:r>
        <w:rPr>
          <w:rFonts w:asciiTheme="majorHAnsi" w:hAnsiTheme="majorHAnsi"/>
          <w:lang w:val="sr-Cyrl-RS"/>
        </w:rPr>
        <w:t>Прихваћена иницијатива за организацију састанка са председницима судова у вези преношења надлежности у оставинским предметима са судова на јавнебележнике;</w:t>
      </w:r>
    </w:p>
    <w:p w:rsidR="00BB548B" w:rsidRDefault="00BB548B" w:rsidP="00D46EFF">
      <w:pPr>
        <w:pStyle w:val="ListParagraph"/>
        <w:numPr>
          <w:ilvl w:val="0"/>
          <w:numId w:val="1"/>
        </w:numPr>
        <w:jc w:val="both"/>
        <w:rPr>
          <w:rFonts w:asciiTheme="majorHAnsi" w:hAnsiTheme="majorHAnsi"/>
          <w:lang w:val="sr-Cyrl-RS"/>
        </w:rPr>
      </w:pPr>
      <w:r>
        <w:rPr>
          <w:rFonts w:asciiTheme="majorHAnsi" w:hAnsiTheme="majorHAnsi"/>
          <w:lang w:val="sr-Cyrl-RS"/>
        </w:rPr>
        <w:t>Информисан о пресудама Управног суда у 1 предмету</w:t>
      </w:r>
    </w:p>
    <w:p w:rsidR="00BB548B" w:rsidRDefault="00BB548B"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Формирао Фокус групу АКС за израду анализе и дефинисање свих проблема у примени Зконика о кривичном поступку у припрему </w:t>
      </w:r>
      <w:r w:rsidR="00216E6C">
        <w:rPr>
          <w:rFonts w:asciiTheme="majorHAnsi" w:hAnsiTheme="majorHAnsi"/>
          <w:lang w:val="sr-Cyrl-RS"/>
        </w:rPr>
        <w:t>предлога измена релевантних чланова у циљу уклањања недостатака који буду утврђени у току рада Фокус групе коју чине чланови Радне групе за кривично право АКС и представници адвокатских комора у саставу АКС;</w:t>
      </w:r>
    </w:p>
    <w:p w:rsidR="00216E6C" w:rsidRDefault="00216E6C"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одлуке о упису промена у Именику адвокатских ортачких друштава АКС за 2 адвокатска ортачка друштва;</w:t>
      </w:r>
    </w:p>
    <w:p w:rsidR="00216E6C" w:rsidRDefault="00216E6C" w:rsidP="00D46EF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објављивању позива за учешће у едукацији адвоката у организацији Немачке адвокатске коморе на интернет страници АКС и достављању овог позива</w:t>
      </w:r>
      <w:r w:rsidR="004A3828">
        <w:rPr>
          <w:rFonts w:asciiTheme="majorHAnsi" w:hAnsiTheme="majorHAnsi"/>
          <w:lang w:val="sr-Cyrl-RS"/>
        </w:rPr>
        <w:t xml:space="preserve"> адвокатским коморама у саству АКС</w:t>
      </w:r>
    </w:p>
    <w:p w:rsidR="004A3828" w:rsidRPr="00D46EFF" w:rsidRDefault="004A3828"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учешћу на седници Пеко комитета ЦЦБЕ, Међународном дану адвокатских комора АК Франкфурта, саветовању судија Врховног касационог суда, годишњој конференцији ИБА, обележавању годишњице </w:t>
      </w:r>
      <w:r w:rsidR="00FE37BD">
        <w:rPr>
          <w:rFonts w:asciiTheme="majorHAnsi" w:hAnsiTheme="majorHAnsi"/>
          <w:lang w:val="sr-Cyrl-RS"/>
        </w:rPr>
        <w:t xml:space="preserve">усвајања Првог закона о адвокатури у Бугарској </w:t>
      </w:r>
    </w:p>
    <w:sectPr w:rsidR="004A3828" w:rsidRPr="00D46EFF" w:rsidSect="00FE37BD">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7063F"/>
    <w:rsid w:val="00216E6C"/>
    <w:rsid w:val="004A3828"/>
    <w:rsid w:val="0055072C"/>
    <w:rsid w:val="00704D81"/>
    <w:rsid w:val="00BB548B"/>
    <w:rsid w:val="00C81661"/>
    <w:rsid w:val="00C8415B"/>
    <w:rsid w:val="00D46EFF"/>
    <w:rsid w:val="00DE0431"/>
    <w:rsid w:val="00EA4009"/>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F66B-69E1-414B-8EC8-4C0AE19D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3</cp:revision>
  <dcterms:created xsi:type="dcterms:W3CDTF">2019-06-12T09:52:00Z</dcterms:created>
  <dcterms:modified xsi:type="dcterms:W3CDTF">2019-06-12T09:53:00Z</dcterms:modified>
</cp:coreProperties>
</file>